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readme for </w:t>
      </w:r>
      <w:r>
        <w:t xml:space="preserve">vel_SA_all</w:t>
      </w:r>
      <w:r>
        <w:t xml:space="preserve">.csv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This file contains information of how to read the columns from </w:t>
      </w:r>
      <w:r>
        <w:t xml:space="preserve">vel_SA_all</w:t>
      </w:r>
      <w:r>
        <w:t xml:space="preserve">.csv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vel_SA_all</w:t>
      </w:r>
      <w:r>
        <w:rPr>
          <w:highlight w:val="none"/>
        </w:rPr>
        <w:t xml:space="preserve">.csv is a dataset containing summary statistics for climate change velocities taken within each study area from the BioShifts database. Bellow is a screen shot of the dataset: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551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616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155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69.7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first two columns of the dataset represent the study ID (column ID) and resolution of the environmental data used for calculating climate velocities (column res). Possible resolutions are: 1km, 25km, 50km, and 110km. For marine studies, we did not calculate statistics at 1km as climate variables are unavailable at this resolution.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following columns are structured to represent a combination of attributes, named “variable”, “statistic” and “exposure”, such that each column name represents [variable]_[statistic]_[exposure].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Possible variables are:</w:t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Variable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Description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baseline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Values of the exposure variable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trend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Slope of the exposure variable over time considering the duration of the range shift estimate within the study area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Vel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Climate change velocity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VelLat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Climate change velocity across latitude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VelEle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Climate change velocity across elevation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Possible </w:t>
      </w:r>
      <w:r>
        <w:rPr>
          <w:highlight w:val="none"/>
        </w:rPr>
        <w:t xml:space="preserve">statistic</w:t>
      </w:r>
      <w:r/>
      <w:r>
        <w:rPr>
          <w:highlight w:val="none"/>
        </w:rPr>
        <w:t xml:space="preserve"> are: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  <w:t xml:space="preserve">Statistic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Description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min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Minimum value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1Q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1st quantile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tabs>
                <w:tab w:val="left" w:leader="none" w:pos="584"/>
              </w:tabs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median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Median value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mean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Mean value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3Q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3rd quantile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max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Maximum value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sd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Standard deviation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Possible </w:t>
      </w:r>
      <w:r>
        <w:rPr>
          <w:highlight w:val="none"/>
        </w:rPr>
      </w:r>
      <w:r>
        <w:rPr>
          <w:highlight w:val="none"/>
        </w:rPr>
        <w:t xml:space="preserve">exposure</w:t>
      </w:r>
      <w:r/>
      <w:r>
        <w:rPr>
          <w:highlight w:val="none"/>
        </w:rPr>
        <w:t xml:space="preserve"> </w:t>
      </w:r>
      <w:r>
        <w:rPr>
          <w:highlight w:val="none"/>
        </w:rPr>
        <w:t xml:space="preserve">are: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  <w:t xml:space="preserve">Exposure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Description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mat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Mean annual temperature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map</w:t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Mean annual precipitation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tabs>
                <w:tab w:val="left" w:leader="none" w:pos="584"/>
              </w:tabs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sst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Seat surface temperature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For example, the column “baseline_min_mat” indicates the minimum value of mean annual temperature across the study area, whereas the “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2"/>
          <w:u w:val="none"/>
          <w:vertAlign w:val="baseline"/>
        </w:rPr>
        <w:t xml:space="preserve">trend_1Q_mat</w:t>
      </w:r>
      <w:r>
        <w:rPr>
          <w:highlight w:val="none"/>
        </w:rPr>
        <w:t xml:space="preserve">” indicate the value of the first quantile of trend in mean annual temperature.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  <w:t xml:space="preserve">Important: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As in BioShifts there are studies conducted in land and ocean, we used realm-specific exposure variables. For instance, on land we used “mat” and “map”, whereas “sst” is only available for marine studies.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Also, metrics of “VelEle” were only calculated at the resolution of “1km”, as coarser resolutions would be less appropriate to represent elevation gradients.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2025-07-10T11:29:01Z</dcterms:modified>
</cp:coreProperties>
</file>