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676" w:rsidRPr="002F2676" w:rsidRDefault="002F2676" w:rsidP="002F2676">
      <w:pPr>
        <w:spacing w:after="0" w:line="480" w:lineRule="auto"/>
        <w:rPr>
          <w:rFonts w:ascii="Times New Roman" w:eastAsia="Times New Roman" w:hAnsi="Times New Roman" w:cs="Times New Roman"/>
          <w:sz w:val="24"/>
          <w:szCs w:val="24"/>
        </w:rPr>
      </w:pPr>
      <w:bookmarkStart w:id="0" w:name="_GoBack"/>
      <w:bookmarkEnd w:id="0"/>
      <w:r w:rsidRPr="002F2676">
        <w:rPr>
          <w:rFonts w:ascii="Times New Roman" w:eastAsia="Times New Roman" w:hAnsi="Times New Roman" w:cs="Times New Roman"/>
          <w:b/>
          <w:bCs/>
          <w:color w:val="000000"/>
          <w:sz w:val="24"/>
          <w:szCs w:val="24"/>
        </w:rPr>
        <w:t>Temporal effectiveness of biodiversity surrogates in coral reefs in the British Virgin Islands</w:t>
      </w:r>
    </w:p>
    <w:p w:rsidR="002F2676" w:rsidRPr="002F2676" w:rsidRDefault="002F2676" w:rsidP="002F2676">
      <w:pPr>
        <w:spacing w:after="0" w:line="480" w:lineRule="auto"/>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rPr>
        <w:t>Nicole B. Keefner</w:t>
      </w:r>
      <w:r w:rsidRPr="002F2676">
        <w:rPr>
          <w:rFonts w:ascii="Times New Roman" w:eastAsia="Times New Roman" w:hAnsi="Times New Roman" w:cs="Times New Roman"/>
          <w:color w:val="000000"/>
          <w:sz w:val="14"/>
          <w:szCs w:val="14"/>
          <w:vertAlign w:val="superscript"/>
        </w:rPr>
        <w:t>1</w:t>
      </w:r>
    </w:p>
    <w:p w:rsidR="002F2676" w:rsidRPr="002F2676" w:rsidRDefault="002F2676" w:rsidP="002F2676">
      <w:pPr>
        <w:spacing w:after="0" w:line="480" w:lineRule="auto"/>
        <w:outlineLvl w:val="0"/>
        <w:rPr>
          <w:rFonts w:ascii="Times New Roman" w:eastAsia="Times New Roman" w:hAnsi="Times New Roman" w:cs="Times New Roman"/>
          <w:b/>
          <w:bCs/>
          <w:kern w:val="36"/>
          <w:sz w:val="48"/>
          <w:szCs w:val="48"/>
        </w:rPr>
      </w:pPr>
      <w:r w:rsidRPr="002F2676">
        <w:rPr>
          <w:rFonts w:ascii="Times New Roman" w:eastAsia="Times New Roman" w:hAnsi="Times New Roman" w:cs="Times New Roman"/>
          <w:b/>
          <w:bCs/>
          <w:color w:val="000000"/>
          <w:kern w:val="36"/>
          <w:sz w:val="24"/>
          <w:szCs w:val="24"/>
        </w:rPr>
        <w:t>Abstract</w:t>
      </w:r>
    </w:p>
    <w:p w:rsidR="002F2676" w:rsidRPr="002F2676" w:rsidRDefault="002F2676" w:rsidP="002F2676">
      <w:pPr>
        <w:spacing w:after="0" w:line="480" w:lineRule="auto"/>
        <w:ind w:firstLine="720"/>
        <w:rPr>
          <w:rFonts w:ascii="Times New Roman" w:eastAsia="Times New Roman" w:hAnsi="Times New Roman" w:cs="Times New Roman"/>
          <w:sz w:val="24"/>
          <w:szCs w:val="24"/>
        </w:rPr>
      </w:pPr>
      <w:r w:rsidRPr="002F2676">
        <w:rPr>
          <w:rFonts w:ascii="Times New Roman" w:eastAsia="Times New Roman" w:hAnsi="Times New Roman" w:cs="Times New Roman"/>
          <w:color w:val="333333"/>
          <w:sz w:val="24"/>
          <w:szCs w:val="24"/>
          <w:shd w:val="clear" w:color="auto" w:fill="FFFFFF"/>
        </w:rPr>
        <w:t xml:space="preserve">Biodiversity is declining around the world, necessitating rapid identification of species distribution contractions and population declines to identify conservation priorities. Surrogates are increasingly being used to meet this challenge. A good surrogate is expected to be easier to monitor than the target component of biodiversity and meets the assumption that the target-surrogate relationship is constant over space and time. Our objective was to evaluate the spatio-temporal stability of surrogates in coral reef systems around using data from an ongoing 26-year monitoring program in the British Virgin Islands that has quantified the abundance of fish, coral, and sponge species at 8 sites. Of these taxa, corals are the most widely monitored and measures of coral cover are often assumed to be good surrogates for diversity of reef-associated taxa. We thus hypothesize that coral cover and rugosity will be good surrogates for fish, coral, and sponge species richness. We also investigated how the inclusion of recognizable taxonomic units (RTU’s) compares to species-level studies. We sought correlated relationships between the proposed surrogates and fish, coral, and sponge species richness. Our results provide insight on the use of surrogates in a coral reef ecosystem and on the inclusion of RTU’s in biodiversity studies. The identification of surrogates that maintain stable relationships with target components of biodiversity over time can inform decisions regarding existing data from monitoring studies and the allocation of limited resources for collection of future data. </w:t>
      </w:r>
    </w:p>
    <w:p w:rsidR="002F2676" w:rsidRPr="002F2676" w:rsidRDefault="002F2676" w:rsidP="002F2676">
      <w:pPr>
        <w:spacing w:after="0" w:line="240" w:lineRule="auto"/>
        <w:rPr>
          <w:rFonts w:ascii="Times New Roman" w:eastAsia="Times New Roman" w:hAnsi="Times New Roman" w:cs="Times New Roman"/>
          <w:sz w:val="24"/>
          <w:szCs w:val="24"/>
        </w:rPr>
      </w:pPr>
    </w:p>
    <w:p w:rsidR="002F2676" w:rsidRDefault="002F2676">
      <w:pPr>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br w:type="page"/>
      </w:r>
    </w:p>
    <w:p w:rsidR="002F2676" w:rsidRPr="002F2676" w:rsidRDefault="002F2676" w:rsidP="002F2676">
      <w:pPr>
        <w:spacing w:after="0" w:line="480" w:lineRule="auto"/>
        <w:outlineLvl w:val="0"/>
        <w:rPr>
          <w:rFonts w:ascii="Times New Roman" w:eastAsia="Times New Roman" w:hAnsi="Times New Roman" w:cs="Times New Roman"/>
          <w:b/>
          <w:bCs/>
          <w:kern w:val="36"/>
          <w:sz w:val="48"/>
          <w:szCs w:val="48"/>
        </w:rPr>
      </w:pPr>
      <w:r w:rsidRPr="002F2676">
        <w:rPr>
          <w:rFonts w:ascii="Times New Roman" w:eastAsia="Times New Roman" w:hAnsi="Times New Roman" w:cs="Times New Roman"/>
          <w:b/>
          <w:bCs/>
          <w:color w:val="000000"/>
          <w:kern w:val="36"/>
          <w:sz w:val="24"/>
          <w:szCs w:val="24"/>
        </w:rPr>
        <w:lastRenderedPageBreak/>
        <w:t xml:space="preserve">Introduction </w:t>
      </w:r>
    </w:p>
    <w:p w:rsidR="002F2676" w:rsidRPr="002F2676" w:rsidRDefault="002F2676" w:rsidP="002F2676">
      <w:pPr>
        <w:spacing w:after="0" w:line="480" w:lineRule="auto"/>
        <w:ind w:firstLine="720"/>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rPr>
        <w:t xml:space="preserve">Biodiversity changes and declines associated with increasing levels of anthropogenic stress disrupt community dynamics and are of great concern because biodiversity contributes to ecosystem function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{"citationItems":[{"id":"ITEM-1","itemData":{"DOI":"10.1890/070195","ISBN":"1540-9295","ISSN":"15409295","PMID":"16895442","abstract":"Controlled experiments have substantially advanced our understanding of the links between changing biodiversity and ecosystem functioning (BEF) in recent years. However, controversy continues regarding the relevance of BEF experiments to the complex ecosystems and large spatial and temporal scales of interest in conservation and management. Here, I address some of the persistent criticisms regarding experimental BEF research and argue that these have been overstated. Contrary to some suggestions, many putative artifacts attributed to experiments render their conclusions about BEF links stronger, rather than weaker. Like other broad ecological concepts, BEF focuses on general patterns, rather than looking at species-level, applied conservation problems. Nevertheless, insights from BEF experiments conducted to date are likely to underestimate, rather than overestimate, the importance of biodiversity to ecosystem functioning and the provision of ecosystem services in the real world. These experiments suggest that managing ecosystems to promote biodiversity can have important practical benefits.","author":[{"dropping-particle":"","family":"Emmett Duffy","given":"J.","non-dropping-particle":"","parse-names":false,"suffix":""}],"container-title":"Frontiers in Ecology and the Environment","id":"ITEM-1","issue":"8","issued":{"date-parts":[["2009"]]},"note":"This paper supports and defends the positive relationship between biodiversity and ecosystem function (i.e. biodiversity contributes to ecosystem function).","page":"437-444","title":"Why biodiversity is important to the functioning of real-world ecosystems","type":"article-journal","volume":"7"},"uris":["http://www.mendeley.com/documents/?uuid=cb4cd939-516b-4cb2-965d-276c34cb2763"]},{"id":"ITEM-2","itemData":{"DOI":"10.1890/120272","abstract":"This paper provides a synthesis of the recent literature describing how global biodiversity is being affected by climate change and is projected to respond in the future. Current studies reinforce earlier findings of major cli- mate-change-related impacts on biological systems and document new, more subtle after-effects. For example, many species are shifting their distributions and phenologies at faster rates than were recorded just a few years ago; however, responses are not uniform across species. Shifts have been idiosyncratic and in some cases coun- terintuitive, promoting new community compositions and altering biotic interactions. Although genetic diversity enhances species’ potential to respond to variable conditions, climate change may outpace intrinsic adaptive capacities and increase the relative vulnerabilities of many organisms. Developing effective adapta- tion strategies for biodiversity conservation will not only require flexible decision-making and management approaches that account for uncertainties in climate projections and ecological responses but will also neces- sitate coordinated monitoring efforts.","author":[{"dropping-particle":"","family":"Staudinger","given":"Michelle D.","non-dropping-particle":"","parse-names":false,"suffix":""},{"dropping-particle":"","family":"Carter","given":"Shawn L.","non-dropping-particle":"","parse-names":false,"suffix":""},{"dropping-particle":"","family":"Cross","given":"Molly S.","non-dropping-particle":"","parse-names":false,"suffix":""},{"dropping-particle":"","family":"Dubois","given":"Natalie S.","non-dropping-particle":"","parse-names":false,"suffix":""},{"dropping-particle":"","family":"Emmett Duffy","given":"J.","non-dropping-particle":"","parse-names":false,"suffix":""},{"dropping-particle":"","family":"Enquist","given":"Carolyn","non-dropping-particle":"","parse-names":false,"suffix":""},{"dropping-particle":"","family":"Griffis","given":"Roger","non-dropping-particle":"","parse-names":false,"suffix":""},{"dropping-particle":"","family":"Hellmann","given":"Jessica J.","non-dropping-particle":"","parse-names":false,"suffix":""},{"dropping-particle":"","family":"Lawler","given":"Joshua J.","non-dropping-particle":"","parse-names":false,"suffix":""},{"dropping-particle":"","family":"O'Leary","given":"John","non-dropping-particle":"","parse-names":false,"suffix":""},{"dropping-particle":"","family":"Morrison","given":"Scott A.","non-dropping-particle":"","parse-names":false,"suffix":""},{"dropping-particle":"","family":"Sneddon","given":"Lesley","non-dropping-particle":"","parse-names":false,"suffix":""},{"dropping-particle":"","family":"Stein","given":"Bruce A.","non-dropping-particle":"","parse-names":false,"suffix":""},{"dropping-particle":"","family":"Thompson","given":"Laura M.","non-dropping-particle":"","parse-names":false,"suffix":""},{"dropping-particle":"","family":"Turner","given":"Woody","non-dropping-particle":"","parse-names":false,"suffix":""}],"container-title":"Frontiers in Ecology and the Environment","id":"ITEM-2","issue":"9","issued":{"date-parts":[["2013"]]},"note":"-Biodiversity contributes to ecosystem function, so loss of biodiversity can lead to disruption of community dynamics","page":"465-473","title":"Biodiversity in a changing climate : A synthesis of current and projected trends in the US","type":"article-journal","volume":"11"},"uris":["http://www.mendeley.com/documents/?uuid=c54f8dc8-090d-35f7-b9ec-f7195b583678"]},{"id":"ITEM-3","itemData":{"DOI":"10.1007/s10531-009-9761-9","ISBN":"0960-3115","ISSN":"09603115","PMID":"12625467","abstract":"There is a widespread belief that we are experiencing a mass extinction event similar in severity to previous mass extinction events in the last 600 million years where up to 95% of species disappeared. This paper reviews evidence for current extinctions and different methods of assessing extinction rates including species-area relationships and loss of tropical forests, changing threat status of species, co-extinction rates and modelling the impact of climate change. For 30 years some have suggested that extinctions through tropical forest loss are occurring at a rate of up to 100 species a day and yet less than 1,200 extinctions have been recorded in the last 400 years. Reasons for low number of identified global extinctions are suggested here and include success in protecting many endangered species, poor monitoring of most of the rest of species and their level of threat, extinction debt where forests have been lost but species still survive, that regrowth forests may be important in retaining 'old growth' species, fewer co-extinctions of species than expected, and large differences in the vulnerability of different taxa to extinction threats. More recently, others have suggested similar rates of extinction to earlier estimates but with the key cause of extinction being climate change, and in particular rising temperatures, rather than deforestation alone. Here I suggest that climate change, rather than deforestation is likely to bring about such high levels of extinction since the impacts of climate change are local to global and that climate change is acting synergistically with a range of other threats to biodiversity including deforestation.","author":[{"dropping-particle":"","family":"Stork","given":"Nigel E.","non-dropping-particle":"","parse-names":false,"suffix":""}],"container-title":"Biodiversity and Conservation","id":"ITEM-3","issued":{"date-parts":[["2010"]]},"note":"-Biodiversity contributes to ecosystem function, so loss of biodiversity can lead to disruption of community dynamics\n-This paper mostly focuses on the crisis of rapid biodiversity changes and losses","page":"357-371","title":"Re-assessing current extinction rates","type":"article-journal","volume":"19"},"uris":["http://www.mendeley.com/documents/?uuid=f08a73b9-9e68-3096-9a20-99377748bcfc"]}],"mendeley":{"formattedCitation":"(Emmett Duffy, 2009; Staudinger et al., 2013; Stork, 2010)","plainTextFormattedCitation":"(Emmett Duffy, 2009; Staudinger et al., 2013; Stork, 2010)","previouslyFormattedCitation":"(Emmett Duffy, 2009; Staudinger et al., 2013; Stork, 2010)"},"properties":{"noteIndex":0},"schema":"https://github.com/citation-style-language/schema/raw/master/csl-citation.json"}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2F2676">
        <w:rPr>
          <w:rFonts w:ascii="Times New Roman" w:eastAsia="Times New Roman" w:hAnsi="Times New Roman" w:cs="Times New Roman"/>
          <w:noProof/>
          <w:color w:val="000000"/>
          <w:sz w:val="24"/>
          <w:szCs w:val="24"/>
        </w:rPr>
        <w:t>(Emmett Duffy, 2009; Staudinger et al., 2013; Stork, 2010)</w:t>
      </w:r>
      <w:r>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 There are many aspects of biodiversity: landscape, ecosystem, taxonomic, and genetic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{"citationItems":[{"id":"ITEM-1","itemData":{"DOI":"10.1016/S0167-8809(03)00072-0","ISBN":"0167-8809","ISSN":"01678809","PMID":"532","abstract":"Ideally, an indicator for biodiversity is a linear correlate to the entity or aspect of biodiversity under evaluation. Different motivations for assessing entities or aspects of biodiversity lead to different value systems; their indicators may not correlate at all. For biodiversity evaluation in agricultural landscapes, three indices are proposed, each consisting of a basket of concordant indicators. They represent the three value systems \"conservation\" (protection and enhancement of rare and threatened species), \"ecology\" (ecological resilience, ecosystem functioning, based on species diversity), and \"biological control\" (diversity of antagonists of potential pest organisms). The quality and reliability of commonly used indicators could and should be tested with a three-step approach. First, the motivations and value systems and their corresponding biodiversity aspects or entities have to be defined. In a time consuming second step, a number of habitats have to be sampled as thoroughly as possible with regard to one or several of the three value systems or motivations. The third step is to test the linear correlations of a choice of easily measurable indicators with the entities quantified in the second step. Some examples of good and bad correlations are discussed. © 2003 Elsevier Science B.V. All rights reserved.","author":[{"dropping-particle":"","family":"Duelli","given":"Peter","non-dropping-particle":"","parse-names":false,"suffix":""},{"dropping-particle":"","family":"Obrist","given":"Martin K.","non-dropping-particle":"","parse-names":false,"suffix":""}],"container-title":"Agriculture, Ecosystems and Environment","id":"ITEM-1","issued":{"date-parts":[["2003"]]},"note":"-biodiversity has many aspects (see figure 1)","page":"87-98","title":"Biodiversity indicators: The choice of values and measures","type":"article-journal","volume":"98"},"uris":["http://www.mendeley.com/documents/?uuid=24c26456-ae66-4147-9446-cf951349d63a"]},{"id":"ITEM-2","itemData":{"author":[{"dropping-particle":"","family":"Noss","given":"Reed F.","non-dropping-particle":"","parse-names":false,"suffix":""}],"container-title":"Conservation Biology","id":"ITEM-2","issue":"4","issued":{"date-parts":[["1990"]]},"note":"-Reviews the difference aspects of biodiversity\n\n-see figure for types of biodiversity\n-widely cited\n-describes use of indicators/types of indicators","page":"355-364","title":"Indicators for monitoring biodiversity: A hierarchical approach","type":"article-journal","volume":"4"},"uris":["http://www.mendeley.com/documents/?uuid=c5291a8d-f844-3e49-9df0-0ebeccc7a7ae"]}],"mendeley":{"formattedCitation":"(Duelli &amp; Obrist, 2003; Noss, 1990)","plainTextFormattedCitation":"(Duelli &amp; Obrist, 2003; Noss, 1990)","previouslyFormattedCitation":"(Duelli &amp; Obrist, 2003; Noss, 1990)"},"properties":{"noteIndex":0},"schema":"https://github.com/citation-style-language/schema/raw/master/csl-citation.json"}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2F2676">
        <w:rPr>
          <w:rFonts w:ascii="Times New Roman" w:eastAsia="Times New Roman" w:hAnsi="Times New Roman" w:cs="Times New Roman"/>
          <w:noProof/>
          <w:color w:val="000000"/>
          <w:sz w:val="24"/>
          <w:szCs w:val="24"/>
        </w:rPr>
        <w:t>(Duelli &amp; Obrist, 2003; Noss, 1990)</w:t>
      </w:r>
      <w:r>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Taxonomic diversity of an area, particularly the diversity of species, is fundamental to understanding interspecific interactions, environmental conditions at the site given physiological requirements of the species present, and geographic proximity of species distributions of taxonomically related species.</w:t>
      </w:r>
      <w:r w:rsidRPr="002F2676">
        <w:rPr>
          <w:rFonts w:ascii="Times New Roman" w:eastAsia="Times New Roman" w:hAnsi="Times New Roman" w:cs="Times New Roman"/>
          <w:i/>
          <w:iCs/>
          <w:color w:val="000000"/>
          <w:sz w:val="24"/>
          <w:szCs w:val="24"/>
        </w:rPr>
        <w:t xml:space="preserve"> Consequently, </w:t>
      </w:r>
      <w:r w:rsidRPr="002F2676">
        <w:rPr>
          <w:rFonts w:ascii="Times New Roman" w:eastAsia="Times New Roman" w:hAnsi="Times New Roman" w:cs="Times New Roman"/>
          <w:color w:val="000000"/>
          <w:sz w:val="24"/>
          <w:szCs w:val="24"/>
        </w:rPr>
        <w:t xml:space="preserve">species richness, a simple measure of the count of species in an area, is the most commonly measured component of biodiversity in ecological and conservation-related field studies because it offers an intuitive metric to compare similar environments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{"citationItems":[{"id":"ITEM-1","itemData":{"DOI":"10.1016/j.jenvman.2004.11.012","ISBN":"0301-4797","ISSN":"03014797","PMID":"15748806","abstract":"Species diversity and biodiversity are widely used terms in ecology and natural resource management. Despite this, they are not easily defined and different authors apply these terms with varying connotations. The term biodiversity, in particular, has the dubious honour of being widely used but rarely defined. Is it simply the number of species or is it something more? Here I consider what these terms might really mean and their value. I also briefly discuss the rationale for studying and protecting species diversity or biodiversity. © 2005 Elsevier Ltd. All rights reserved.","author":[{"dropping-particle":"","family":"Hamilton","given":"Andrew J.","non-dropping-particle":"","parse-names":false,"suffix":""}],"container-title":"Journal of Environmental Management","id":"ITEM-1","issued":{"date-parts":[["2005"]]},"note":"-Definitions of species diversity\n-Includes comments on how species richness is defined and is sometimes synonymous with species diversity","page":"89-92","title":"Species diversity or biodiversity?","type":"article-journal","volume":"75"},"uris":["http://www.mendeley.com/documents/?uuid=6261dac7-b92f-3818-bbab-3b82dac32d9a"]}],"mendeley":{"formattedCitation":"(Hamilton, 2005)","plainTextFormattedCitation":"(Hamilton, 2005)","previouslyFormattedCitation":"(Hamilton, 2005)"},"properties":{"noteIndex":0},"schema":"https://github.com/citation-style-language/schema/raw/master/csl-citation.json"}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2F2676">
        <w:rPr>
          <w:rFonts w:ascii="Times New Roman" w:eastAsia="Times New Roman" w:hAnsi="Times New Roman" w:cs="Times New Roman"/>
          <w:noProof/>
          <w:color w:val="000000"/>
          <w:sz w:val="24"/>
          <w:szCs w:val="24"/>
        </w:rPr>
        <w:t>(Hamilton, 2005)</w:t>
      </w:r>
      <w:r>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 </w:t>
      </w:r>
    </w:p>
    <w:p w:rsidR="002F2676" w:rsidRPr="002F2676" w:rsidRDefault="002F2676" w:rsidP="002F2676">
      <w:pPr>
        <w:spacing w:after="0" w:line="480" w:lineRule="auto"/>
        <w:ind w:firstLine="720"/>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rPr>
        <w:t xml:space="preserve">Unfortunately, a complete inventory of species present in an area is unattainable in many ecosystems and, for taxonomic groups that can be inventoried in principle, monitoring strategies that could detect all species in a given habitat are often prohibitively expensive and time-consuming </w:t>
      </w:r>
      <w:r>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{"citationItems":[{"id":"ITEM-1","itemData":{"abstract":"We examined six groups of taxa-woody plants, aquatic and terrestrial herpetofauna, small terrestrial birds, orchids, and Orthoptera-to determine their efficiency as biodiversity indicators in the Dadia Reserve in northern Greece. We investigated the indicator value of each group by examining the degree of congruence of its species-richness pattern with that of the other groups and the efficiency of its complementary network in conserving the other groups and biodiversity. The two techniques differed in many respects in their outputs, but they both showed woody plants as the best biodiversity indicator. There was in general low congruence in the species richness patterns across the different groups. Significant relationships were found between woody plants and birds, Orthoptera and terrestrial herpetofauna, and birds and aquatic herpetofauna. None of the optimal complementary networks of the groups we examined protected all species of the other groups. Nevertheless, the complementary network of woody plants adequately conserved all groups except orchids. We conclude that the principle of complementarity must be integrated into the methodology of evaluating an indicator. In an applied context, our results provide a scientific background on which to base a biomon-itoring program for the Dadia Reserve. In a wider scope, if the group of woody plants prove an adequate biodiversity indicator for other Mediterranean areas as well, this will be important because it will facilitate conservation-related decisions for the entire Mediterranean region. Resumen: Examinamos seis grupos de taxones-plantas leñosas, herpetofauna acuática, herpetofauna ter-restre, aves terrestres pequeñas, orquídeas y Orthoptera-para determinar su eficiencia como indicadores de biodiversidad en la Reserva Dadia en el norte de Grecia. Investigamos el valor de cada grupo como indicador examinando el grado de congruencia de su patrón de riqueza de especies con el de otros grupos y la eficiencia de su red complementaria para conservar a los otros grupos y a la biodiversidad. Las dos técnicas difirieron en muchos aspectos de sus resultados, pero ambos mostraron a las plantas leñosas como el mejor indicador de biodiversidad. Hubo poca congruencia en los patrones de riqueza de especies en los diferentes grupos. Se encontraron relaciones significativas entre plantas leñosas y aves, Orthoptera y herpetofauna terrestre, y aves y herpetofauna acuática. Ninguna de las redes complementariasóptimascompl…","author":[{"dropping-particle":"","family":"Kati","given":"Vassiliki","non-dropping-particle":"","parse-names":false,"suffix":""},{"dropping-particle":"","family":"Devillers","given":"Pierre","non-dropping-particle":"","parse-names":false,"suffix":""},{"dropping-particle":"","family":"Dufrêne","given":"Marc","non-dropping-particle":"","parse-names":false,"suffix":""},{"dropping-particle":"","family":"Legakis","given":"Anastasios","non-dropping-particle":"","parse-names":false,"suffix":""},{"dropping-particle":"","family":"Vokou","given":"Despina","non-dropping-particle":"","parse-names":false,"suffix":""},{"dropping-particle":"","family":"Lebrun","given":"Philippe","non-dropping-particle":"","parse-names":false,"suffix":""}],"container-title":"Conservation Biology","id":"ITEM-1","issue":"3","issued":{"date-parts":[["2004"]]},"note":"-Used taxonomic surrogates\n-It's time-consuming and expensive to monitor all species\n-Considers the effect of scale in the dicussion, but only directly looks at local scales","number-of-pages":"667-675","title":"Testing the value of six taxonomic groups as biodiversity indicators at a local scale","type":"report","volume":"18"},"uris":["http://www.mendeley.com/documents/?uuid=6e1b29f7-9196-35b2-921f-bb70a2f4b6a6"]}],"mendeley":{"formattedCitation":"(Kati et al., 2004)","plainTextFormattedCitation":"(Kati et al., 2004)","previouslyFormattedCitation":"(Kati et al., 2004)"},"properties":{"noteIndex":0},"schema":"https://github.com/citation-style-language/schema/raw/master/csl-citation.json"}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2F2676">
        <w:rPr>
          <w:rFonts w:ascii="Times New Roman" w:eastAsia="Times New Roman" w:hAnsi="Times New Roman" w:cs="Times New Roman"/>
          <w:noProof/>
          <w:color w:val="000000"/>
          <w:sz w:val="24"/>
          <w:szCs w:val="24"/>
        </w:rPr>
        <w:t>(Kati et al., 2004)</w:t>
      </w:r>
      <w:r>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 In practice, surrogates are often used instead of direct measures of biodiversity because they are simple indicators that provide an estimate of a target component of biodiversity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{"citationItems":[{"id":"ITEM-1","itemData":{"abstract":"The usefulness of surrogates to estimate complex variables describing community structure, such as the various components of biodiversity, is long established. Most attention has been given to surrogates of species richness and species diversity and has focused on identifying a subset of taxa as a surrogate of total community richness or diversity. In adopting a surrogate measure, it is assumed that the relationship between the surrogate(s) and total richness or diversity is consistent in both space and time. These assumptions are rarely examined explicitly. We examined the robustness of potential surrogates of familial richness and multivariate community structure for macrofauna communities inhabiting artificial kelp holdfasts by comparing among communities of dissimilar ages and among communities established at different times of the year. This is important because most benthic ''landscapes'' will be a mosaic of patches reflecting different intensities, frequencies, and timing of disturbances. The total abundance of organisms and familial richness of crustaceans or polychaetes were all good predictors of total familial richness (R 2. 0.68). In contrast, while the familial richness of other groups, such as mollusks and echinoderms, were well correlated with total familial richness for communities at an early stage of development, the strength of these relationships declined with community age. For multivariate community structure, carefully selected subsets of ;10% of the total taxa yielded similar patterns to the total suite of taxa, irrespective of the age of the community. Thus, useful surrogates of both familial richness and multivariate community structure can be identified for this type of community. However, the choice of technique for selecting surrogate taxa largely depends on the nature of the pilot data available, and careful selection is required to ensure that surrogates perform consistently across different-aged communities. While the specific taxa selected as surrogates will vary among different communities, and possibly even among similar communities at different sites, the techniques and the concepts we address are applicable to any community type.","author":[{"dropping-particle":"","family":"Magierowski","given":"Regina H","non-dropping-particle":"","parse-names":false,"suffix":""},{"dropping-particle":"","family":"Johnson","given":"Craig R","non-dropping-particle":"","parse-names":false,"suffix":""}],"container-title":"Ecological Applications","id":"ITEM-1","issue":"6","issued":{"date-parts":[["2006"]]},"note":"-Temporal variation should be considered when identifying surrogates\n\n-I like the way this intro is set up\n-mentions gap in literature of time\n-this studies says they look at time, but it's over 13 months\n-methods may be useful\n-paraphrase: regular validation of a surrogate is necessary especially in areas of frequent disturbance","page":"2264-2275","title":"Robustness of surrogates of biodiversity in marine benthic communities","type":"article-journal","volume":"16"},"uris":["http://www.mendeley.com/documents/?uuid=16ca88c3-fa99-34f4-acc4-2f11f46ed10b"]}],"mendeley":{"formattedCitation":"(Magierowski &amp; Johnson, 2006)","plainTextFormattedCitation":"(Magierowski &amp; Johnson, 2006)","previouslyFormattedCitation":"(Magierowski &amp; Johnson, 2006)"},"properties":{"noteIndex":0},"schema":"https://github.com/citation-style-language/schema/raw/master/csl-citation.json"}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(Magierowski &amp; Johnson, 2006)</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 Surrogates may be functional (e.g., structural complexity), taxonomic (e.g., species diversity), or landscape features (e.g., percent canopy cover;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{"citationItems":[{"id":"ITEM-1","itemData":{"DOI":"10.1111/1365-2664.13181","ISSN":"13652664","abstract":"Abstract National and international forest biodiversity assessments largely rely on indirect indicators, based on elements of forest structure that are used as surrogates for species diversity. These proxies are reputedly easier and cheaper to assess than biodiversity. Tree microhabitats—tree‐borne singularities such as cavities, conks of fungi or bark characteristics—have gained attention as potential forest biodiversity indicators. However, as with most biodiversity indicators, there is a lack of scientific evidence documenting their quantitative link with the biodiversity they are supposed to assess. We explored the link between microhabitat indices and the richness and abundance of three taxonomic groups: bats, birds and saproxylic beetles. Using a nation‐wide multi‐taxon sampling design in France, we compared 213 plots located inside and outside strict forest reserves. We hypothesized that the positive effect setting aside forest reserves has on biodiversity conservation is indirectly due to an increase in the proportion of large structural elements (e.g., living trees, standing and lying deadwood). These, in turn, are likely to favour the quantity and diversity of microhabitats. We analysed the relationship between the abundance and species richness of different groups and guilds (e.g., red‐listed species, forest specialists, cavity dwellers) and microhabitat density and diversity. We then used confirmatory structural equation models to assess the direct and indirect effects of management abandonment, large structural elements and microhabitats on the biodiversity of the target species. For several groups of birds and bats, the indirect effect of management abandonment and large structural elements on biodiversity was mediated by microhabitats. However, the magnitude of the link between microhabitat indices and biodiversity was moderate. In particular, saproxylic beetles’ biodiversity was poorly explained by microhabitats, large structural elements or management abandonment. Synthesis and applications. Tree microhabitats may serve as indicators for bats and birds, but they are not a universal biodiversity indicator. Rather, compared to large structural elements, they most likely have a complementary role to biodiversity. In terms of forest management and conservation, preserving diversity of microhabitats at the local scale benefits several groups of both bats and birds.","author":[{"dropping-particle":"","family":"Paillet","given":"Yoan","non-dropping-particle":"","parse-names":false,"suffix":""},{"dropping-particle":"","family":"Archaux","given":"Frédéric","non-dropping-particle":"","parse-names":false,"suffix":""},{"dropping-particle":"","family":"Puy","given":"Solène","non-dropping-particle":"du","parse-names":false,"suffix":""},{"dropping-particle":"","family":"Bouget","given":"Christophe","non-dropping-particle":"","parse-names":false,"suffix":""},{"dropping-particle":"","family":"Boulanger","given":"Vincent","non-dropping-particle":"","parse-names":false,"suffix":""},{"dropping-particle":"","family":"Debaive","given":"Nicolas","non-dropping-particle":"","parse-names":false,"suffix":""},{"dropping-particle":"","family":"Gilg","given":"Olivier","non-dropping-particle":"","parse-names":false,"suffix":""},{"dropping-particle":"","family":"Gosselin","given":"Frédéric","non-dropping-particle":"","parse-names":false,"suffix":""},{"dropping-particle":"","family":"Guilbert","given":"Eric","non-dropping-particle":"","parse-names":false,"suffix":""}],"container-title":"Journal of Applied Ecology","id":"ITEM-1","issued":{"date-parts":[["2018"]]},"note":"-Example of landscape feature surrogate","page":"2147-2159","title":"The indicator side of tree microhabitats: A multi-taxon approach based on bats, birds and saproxylic beetles","type":"article-journal","volume":"55"},"uris":["http://www.mendeley.com/documents/?uuid=1a59128c-ddd6-420d-8cc7-bddb680710e0"]},{"id":"ITEM-2","itemData":{"DOI":"10.1016/S0006-3207(98)00133-5","ISBN":"0006-3207","ISSN":"00063207","PMID":"113","abstract":"Where species distribution data are inadequate reserve selection procedures have to rely on surrogate measures of biodiversity. The informativeness of land facets (the simplest units of a landscape with uniform slope, soils and hydrological conditions) as a local scale environmental surrogate was investigated in the Venetia-Limpopo Nature Reserve, South Africa. Multivariate analysis (MDS, ANOSIM) revealed that the land facets adequately represent distinct bird and dung beetle assemblages and are therefore useful surrogates. These land facets/assemblages were subsequently used as attributes in the following reserve selection procedures: (i) Percentage Area Representation (PAR - represent a nominated percentage area of each assemblage); (ii) Species-Assemblage Representation (SAR - represent each species within the smallest number of assemblages); (iii) Assemblage Diversity (AD - maximizing diversity by first selecting areas containing most dissimilar assemblages). The influence of grid cell size, target representation percentages and an over-representation constraint on the efficiency of the algorithms were illustrated. The SAR procedure did not represent assemblages lacking distinguishing species and were thus more efficient in terms of total area selected. The AD procedure selected a slightly larger area than the PAR procedure, but was highly effective at rapidly increasing the diversity of the reserve network.","author":[{"dropping-particle":"","family":"Wessels","given":"K. J.","non-dropping-particle":"","parse-names":false,"suffix":""},{"dropping-particle":"","family":"Freitag","given":"S.","non-dropping-particle":"","parse-names":false,"suffix":""},{"dropping-particle":"","family":"Jaarsveld","given":"A. S.","non-dropping-particle":"van","parse-names":false,"suffix":""}],"container-title":"Biological Conservation","id":"ITEM-2","issued":{"date-parts":[["1999"]]},"note":"-Using land facets (simplest terrain unit of uniform slope, parent material, soils and hydrological conditions identifiable from aerial pattern) as a landscape feature surrogate at the local scale","page":"21-38","title":"The use of land facets as biodiversity surrogates during reserve selection at a local scale","type":"article-journal","volume":"89"},"uris":["http://www.mendeley.com/documents/?uuid=26b2b401-00cd-4c7e-a8bf-4bd0d8b1df36"]}],"mendeley":{"formattedCitation":"(Paillet et al., 2018; Wessels, Freitag, &amp; van Jaarsveld, 1999)","plainTextFormattedCitation":"(Paillet et al., 2018; Wessels, Freitag, &amp; van Jaarsveld, 1999)","previouslyFormattedCitation":"(Paillet et al., 2018; Wessels, Freitag, &amp; van Jaarsveld, 1999)"},"properties":{"noteIndex":0},"schema":"https://github.com/citation-style-language/schema/raw/master/csl-citation.json"}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(Paillet et al., 2018; Wessels, Freitag, &amp; van Jaarsveld, 1999)</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 An effective surrogate takes less time, money, and experience to measure than the target and maintains a consistently strong correlation with the target over time and space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{"citationItems":[{"id":"ITEM-1","itemData":{"abstract":"The usefulness of surrogates to estimate complex variables describing community structure, such as the various components of biodiversity, is long established. Most attention has been given to surrogates of species richness and species diversity and has focused on identifying a subset of taxa as a surrogate of total community richness or diversity. In adopting a surrogate measure, it is assumed that the relationship between the surrogate(s) and total richness or diversity is consistent in both space and time. These assumptions are rarely examined explicitly. We examined the robustness of potential surrogates of familial richness and multivariate community structure for macrofauna communities inhabiting artificial kelp holdfasts by comparing among communities of dissimilar ages and among communities established at different times of the year. This is important because most benthic ''landscapes'' will be a mosaic of patches reflecting different intensities, frequencies, and timing of disturbances. The total abundance of organisms and familial richness of crustaceans or polychaetes were all good predictors of total familial richness (R 2. 0.68). In contrast, while the familial richness of other groups, such as mollusks and echinoderms, were well correlated with total familial richness for communities at an early stage of development, the strength of these relationships declined with community age. For multivariate community structure, carefully selected subsets of ;10% of the total taxa yielded similar patterns to the total suite of taxa, irrespective of the age of the community. Thus, useful surrogates of both familial richness and multivariate community structure can be identified for this type of community. However, the choice of technique for selecting surrogate taxa largely depends on the nature of the pilot data available, and careful selection is required to ensure that surrogates perform consistently across different-aged communities. While the specific taxa selected as surrogates will vary among different communities, and possibly even among similar communities at different sites, the techniques and the concepts we address are applicable to any community type.","author":[{"dropping-particle":"","family":"Magierowski","given":"Regina H","non-dropping-particle":"","parse-names":false,"suffix":""},{"dropping-particle":"","family":"Johnson","given":"Craig R","non-dropping-particle":"","parse-names":false,"suffix":""}],"container-title":"Ecological Applications","id":"ITEM-1","issue":"6","issued":{"date-parts":[["2006"]]},"note":"-Temporal variation should be considered when identifying surrogates\n\n-I like the way this intro is set up\n-mentions gap in literature of time\n-this studies says they look at time, but it's over 13 months\n-methods may be useful\n-paraphrase: regular validation of a surrogate is necessary especially in areas of frequent disturbance","page":"2264-2275","title":"Robustness of surrogates of biodiversity in marine benthic communities","type":"article-journal","volume":"16"},"uris":["http://www.mendeley.com/documents/?uuid=16ca88c3-fa99-34f4-acc4-2f11f46ed10b"]}],"mendeley":{"formattedCitation":"(Magierowski &amp; Johnson, 2006)","plainTextFormattedCitation":"(Magierowski &amp; Johnson, 2006)","previouslyFormattedCitation":"(Magierowski &amp; Johnson, 2006)"},"properties":{"noteIndex":0},"schema":"https://github.com/citation-style-language/schema/raw/master/csl-citation.json"}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(Magierowski &amp; Johnson, 2006)</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 </w:t>
      </w:r>
    </w:p>
    <w:p w:rsidR="002F2676" w:rsidRPr="002F2676" w:rsidRDefault="002F2676" w:rsidP="002F2676">
      <w:pPr>
        <w:spacing w:after="0" w:line="480" w:lineRule="auto"/>
        <w:ind w:firstLine="720"/>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rPr>
        <w:lastRenderedPageBreak/>
        <w:t xml:space="preserve">It is not surprising that most surrogate studies to date have been concerned with the effectiveness of surrogates across spatial scales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{"citationItems":[{"id":"ITEM-1","itemData":{"abstract":"We examined six groups of taxa-woody plants, aquatic and terrestrial herpetofauna, small terrestrial birds, orchids, and Orthoptera-to determine their efficiency as biodiversity indicators in the Dadia Reserve in northern Greece. We investigated the indicator value of each group by examining the degree of congruence of its species-richness pattern with that of the other groups and the efficiency of its complementary network in conserving the other groups and biodiversity. The two techniques differed in many respects in their outputs, but they both showed woody plants as the best biodiversity indicator. There was in general low congruence in the species richness patterns across the different groups. Significant relationships were found between woody plants and birds, Orthoptera and terrestrial herpetofauna, and birds and aquatic herpetofauna. None of the optimal complementary networks of the groups we examined protected all species of the other groups. Nevertheless, the complementary network of woody plants adequately conserved all groups except orchids. We conclude that the principle of complementarity must be integrated into the methodology of evaluating an indicator. In an applied context, our results provide a scientific background on which to base a biomon-itoring program for the Dadia Reserve. In a wider scope, if the group of woody plants prove an adequate biodiversity indicator for other Mediterranean areas as well, this will be important because it will facilitate conservation-related decisions for the entire Mediterranean region. Resumen: Examinamos seis grupos de taxones-plantas leñosas, herpetofauna acuática, herpetofauna ter-restre, aves terrestres pequeñas, orquídeas y Orthoptera-para determinar su eficiencia como indicadores de biodiversidad en la Reserva Dadia en el norte de Grecia. Investigamos el valor de cada grupo como indicador examinando el grado de congruencia de su patrón de riqueza de especies con el de otros grupos y la eficiencia de su red complementaria para conservar a los otros grupos y a la biodiversidad. Las dos técnicas difirieron en muchos aspectos de sus resultados, pero ambos mostraron a las plantas leñosas como el mejor indicador de biodiversidad. Hubo poca congruencia en los patrones de riqueza de especies en los diferentes grupos. Se encontraron relaciones significativas entre plantas leñosas y aves, Orthoptera y herpetofauna terrestre, y aves y herpetofauna acuática. Ninguna de las redes complementariasóptimascompl…","author":[{"dropping-particle":"","family":"Kati","given":"Vassiliki","non-dropping-particle":"","parse-names":false,"suffix":""},{"dropping-particle":"","family":"Devillers","given":"Pierre","non-dropping-particle":"","parse-names":false,"suffix":""},{"dropping-particle":"","family":"Dufrêne","given":"Marc","non-dropping-particle":"","parse-names":false,"suffix":""},{"dropping-particle":"","family":"Legakis","given":"Anastasios","non-dropping-particle":"","parse-names":false,"suffix":""},{"dropping-particle":"","family":"Vokou","given":"Despina","non-dropping-particle":"","parse-names":false,"suffix":""},{"dropping-particle":"","family":"Lebrun","given":"Philippe","non-dropping-particle":"","parse-names":false,"suffix":""}],"container-title":"Conservation Biology","id":"ITEM-1","issue":"3","issued":{"date-parts":[["2004"]]},"note":"-Used taxonomic surrogates\n-It's time-consuming and expensive to monitor all species\n-Considers the effect of scale in the dicussion, but only directly looks at local scales","number-of-pages":"667-675","title":"Testing the value of six taxonomic groups as biodiversity indicators at a local scale","type":"report","volume":"18"},"uris":["http://www.mendeley.com/documents/?uuid=6e1b29f7-9196-35b2-921f-bb70a2f4b6a6"]}],"mendeley":{"formattedCitation":"(Kati et al., 2004)","plainTextFormattedCitation":"(Kati et al., 2004)","previouslyFormattedCitation":"(Kati et al., 2004)"},"properties":{"noteIndex":0},"schema":"https://github.com/citation-style-language/schema/raw/master/csl-citation.json"}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(Kati et al., 2004)</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 because ecological dynamics commonly change across spatial scales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{"citationItems":[{"id":"ITEM-1","itemData":{"author":[{"dropping-particle":"","family":"Wiens","given":"J. A.","non-dropping-particle":"","parse-names":false,"suffix":""}],"container-title":"Functional Ecology","id":"ITEM-1","issue":"4","issued":{"date-parts":[["1989"]]},"note":"-Ecological dynamics change across spatial scales","page":"385-397","title":"Spatial scaling in ecology","type":"article-journal","volume":"3"},"uris":["http://www.mendeley.com/documents/?uuid=f247f038-00a3-4e71-9f87-79dbd6ca2c7e"]}],"mendeley":{"formattedCitation":"(Wiens, 1989)","plainTextFormattedCitation":"(Wiens, 1989)","previouslyFormattedCitation":"(Wiens, 1989)"},"properties":{"noteIndex":0},"schema":"https://github.com/citation-style-language/schema/raw/master/csl-citation.json"}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(Wiens, 1989)</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 The prevalence of studies considering surrogates across spatial scales may also be due to the widespread use of surrogates to identify priority conservation areas; this task requires an understanding of how the size and dispersion of the areas being conserved will affect the dynamics between the surrogate and target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{"citationItems":[{"id":"ITEM-1","itemData":{"author":[{"dropping-particle":"","family":"Margules","given":"C. R.","non-dropping-particle":"","parse-names":false,"suffix":""},{"dropping-particle":"","family":"Pressey","given":"R. L.","non-dropping-particle":"","parse-names":false,"suffix":""},{"dropping-particle":"","family":"Williams","given":"P. H.","non-dropping-particle":"","parse-names":false,"suffix":""}],"container-title":"Journal of Biosciences","id":"ITEM-1","issue":"4","issued":{"date-parts":[["2002"]]},"note":"-Surrogates used to ID priority conservation areas, so the focus of many of these studies is on the spatial effectiveness of the surrogates\n\n-Static study focusing on spatial aspect\n-Predicting overall diversity with one group","page":"309-326","title":"Representing biodiversity: Data and procedures for identifying priority areas for conservation","type":"article-journal","volume":"27"},"uris":["http://www.mendeley.com/documents/?uuid=0fe850a3-7b95-3d88-92f8-d753171576ec"]},{"id":"ITEM-2","itemData":{"DOI":"10.1016/j.ecolind.2005.08.006","ISBN":"1470-160X","ISSN":"1470160X","PMID":"308","abstract":"The use of bioindicators as a tool in conservation and landscape ecology projects is becoming more widespread. We suggest objective criteria for selecting suitable focal species to identify important semi-natural elements in agricultural landscapes and provide quality indications at two different spatial scales. At a broad scale, focal species can indicate overall landscape quality, and species abundance data allow an environment suitability map to be drawn. At a local scale, focal species abundances can be related to structural characteristics of landscape elements, thus, providing valuable indications of the most effective locations for restoration projects. © 2005 Published by Elsevier Ltd.","author":[{"dropping-particle":"","family":"Padoa-Schioppa","given":"Emilio","non-dropping-particle":"","parse-names":false,"suffix":""},{"dropping-particle":"","family":"Baietto","given":"Marco","non-dropping-particle":"","parse-names":false,"suffix":""},{"dropping-particle":"","family":"Massa","given":"Renato","non-dropping-particle":"","parse-names":false,"suffix":""},{"dropping-particle":"","family":"Bottoni","given":"Luciana","non-dropping-particle":"","parse-names":false,"suffix":""}],"container-title":"Ecological Indicators","id":"ITEM-2","issued":{"date-parts":[["2006"]]},"note":"-Surrogates used to ID priority conservation areas, so the focus of many of these studies is on the spatial effectiveness of the surrogates","page":"83-93","title":"Bird communities as bioindicators: The focal species concept in agricultural landscapes","type":"article-journal","volume":"6"},"uris":["http://www.mendeley.com/documents/?uuid=4e32da55-a26d-3d9e-8edc-74d4e3da9e0d"]},{"id":"ITEM-3","itemData":{"author":[{"dropping-particle":"","family":"Ward","given":"T. J.","non-dropping-particle":"","parse-names":false,"suffix":""},{"dropping-particle":"","family":"Vanderklift","given":"M. A.","non-dropping-particle":"","parse-names":false,"suffix":""},{"dropping-particle":"","family":"Nicholls","given":"A. O.","non-dropping-particle":"","parse-names":false,"suffix":""},{"dropping-particle":"","family":"Kenchington","given":"R. A.","non-dropping-particle":"","parse-names":false,"suffix":""}],"container-title":"Ecological Applications","id":"ITEM-3","issue":"2","issued":{"date-parts":[["1999"]]},"note":"-Surrogates used to ID priority conservation areas, so the focus of many of these studies is on the spatial effectiveness of the surrogates\n\n-static\n-spatial\n-marine reserves","page":"691-698","title":"Selecting marine reserves using habitats and species assemblages as surrogates for biological diversity","type":"article-journal","volume":"9"},"uris":["http://www.mendeley.com/documents/?uuid=7ab79edc-ca3e-3591-b810-baadc817036b"]}],"mendeley":{"formattedCitation":"(Margules, Pressey, &amp; Williams, 2002; Padoa-Schioppa, Baietto, Massa, &amp; Bottoni, 2006; Ward, Vanderklift, Nicholls, &amp; Kenchington, 1999)","plainTextFormattedCitation":"(Margules, Pressey, &amp; Williams, 2002; Padoa-Schioppa, Baietto, Massa, &amp; Bottoni, 2006; Ward, Vanderklift, Nicholls, &amp; Kenchington, 1999)","previouslyFormattedCitation":"(Margules, Pressey, &amp; Williams, 2002; Padoa-Schioppa, Baietto, Massa, &amp; Bottoni, 2006; Ward, Vanderklift, Nicholls, &amp; Kenchington, 1999)"},"properties":{"noteIndex":0},"schema":"https://github.com/citation-style-language/schema/raw/master/csl-citation.json"}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(Margules, Pressey, &amp; Williams, 2002; Padoa-Schioppa, Baietto, Massa, &amp; Bottoni, 2006; Ward, Vanderklift, Nicholls, &amp; Kenchington, 1999)</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 However, few studies have explicitly investigated surrogate effectiveness across temporal scales, and those that have are typically quite short (e.g., 13 months and 1 year;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{"citationItems":[{"id":"ITEM-1","itemData":{"DOI":"10.1016/j.seares.2011.07.003","ISBN":"1385-1101","ISSN":"13851101","abstract":"Macroalgae are useful organisms to monitor the environmental quality and to detect impacts due to anthropogenic activities. However, it is very important to identify the scales of variation in natural assemblages, particularly for the detection of environmental impacts. Otherwise, changes due to anthropogenic impacts may be confused with differences due to natural temporal variability. Another important task is to determine the appropriate level of taxonomical effort needed to detect changes in the assemblage structure. Many taxonomical surrogates, at higher taxonomic levels than that of species, have been proposed but, the consistence in space and time of the results produced by surrogates with those obtained at specific level should be tested. The objectives of this study are to identify the seasonal patterns of tidepool macroalgal communities using objective procedures and to test the consistence between the patterns obtained considering data at the species level and functional groups. Results showed that the seasonal pattern obtained using functional groups and species was consistent. Tidepool macroalgal assemblages showed a seasonal pattern with significant differences between spring-summer and autumn-winter. This pattern can be explained by changes in environmental variables and the seasonal development of the dominating species. Ulva spp. and the non-indigenous species Grateloupia turuturu were the species responsible for this pattern due to their high seasonality in terms of biomass. Finally, the abundance and species diversity within the corticated functional group was proposed as indicator of environmental impacts due to its relatively constant abundance and its sensitivity to environmental impacts. © 2011 Elsevier B.V.","author":[{"dropping-particle":"","family":"Rubal","given":"M.","non-dropping-particle":"","parse-names":false,"suffix":""},{"dropping-particle":"","family":"Veiga","given":"P.","non-dropping-particle":"","parse-names":false,"suffix":""},{"dropping-particle":"","family":"Vieira","given":"R.","non-dropping-particle":"","parse-names":false,"suffix":""},{"dropping-particle":"","family":"Sousa-Pinto","given":"I.","non-dropping-particle":"","parse-names":false,"suffix":""}],"container-title":"Journal of Sea Research","id":"ITEM-1","issued":{"date-parts":[["2011"]]},"note":"-Considers effectiveness of surrogates over time (2 seasons)\n\n-patterns consistent between species and functional groups, so function can be a surrogate\n-look at seasonal variation over time, but only one year\n-points out lack of temporal surrogate studies","page":"187-194","title":"Seasonal patterns of tidepool macroalgal assemblages in the North of Portugal. Consistence between species and functional group approaches","type":"article-journal","volume":"66"},"uris":["http://www.mendeley.com/documents/?uuid=1b35861d-729e-38fc-9c31-24d04a496c61"]},{"id":"ITEM-2","itemData":{"abstract":"The usefulness of surrogates to estimate complex variables describing community structure, such as the various components of biodiversity, is long established. Most attention has been given to surrogates of species richness and species diversity and has focused on identifying a subset of taxa as a surrogate of total community richness or diversity. In adopting a surrogate measure, it is assumed that the relationship between the surrogate(s) and total richness or diversity is consistent in both space and time. These assumptions are rarely examined explicitly. We examined the robustness of potential surrogates of familial richness and multivariate community structure for macrofauna communities inhabiting artificial kelp holdfasts by comparing among communities of dissimilar ages and among communities established at different times of the year. This is important because most benthic ''landscapes'' will be a mosaic of patches reflecting different intensities, frequencies, and timing of disturbances. The total abundance of organisms and familial richness of crustaceans or polychaetes were all good predictors of total familial richness (R 2. 0.68). In contrast, while the familial richness of other groups, such as mollusks and echinoderms, were well correlated with total familial richness for communities at an early stage of development, the strength of these relationships declined with community age. For multivariate community structure, carefully selected subsets of ;10% of the total taxa yielded similar patterns to the total suite of taxa, irrespective of the age of the community. Thus, useful surrogates of both familial richness and multivariate community structure can be identified for this type of community. However, the choice of technique for selecting surrogate taxa largely depends on the nature of the pilot data available, and careful selection is required to ensure that surrogates perform consistently across different-aged communities. While the specific taxa selected as surrogates will vary among different communities, and possibly even among similar communities at different sites, the techniques and the concepts we address are applicable to any community type.","author":[{"dropping-particle":"","family":"Magierowski","given":"Regina H","non-dropping-particle":"","parse-names":false,"suffix":""},{"dropping-particle":"","family":"Johnson","given":"Craig R","non-dropping-particle":"","parse-names":false,"suffix":""}],"container-title":"Ecological Applications","id":"ITEM-2","issue":"6","issued":{"date-parts":[["2006"]]},"note":"-Temporal variation should be considered when identifying surrogates\n\n-I like the way this intro is set up\n-mentions gap in literature of time\n-this studies says they look at time, but it's over 13 months\n-methods may be useful\n-paraphrase: regular validation of a surrogate is necessary especially in areas of frequent disturbance","page":"2264-2275","title":"Robustness of surrogates of biodiversity in marine benthic communities","type":"article-journal","volume":"16"},"uris":["http://www.mendeley.com/documents/?uuid=16ca88c3-fa99-34f4-acc4-2f11f46ed10b"]}],"mendeley":{"formattedCitation":"(Magierowski &amp; Johnson, 2006; Rubal, Veiga, Vieira, &amp; Sousa-Pinto, 2011)","plainTextFormattedCitation":"(Magierowski &amp; Johnson, 2006; Rubal, Veiga, Vieira, &amp; Sousa-Pinto, 2011)","previouslyFormattedCitation":"(Magierowski &amp; Johnson, 2006; Rubal, Veiga, Vieira, &amp; Sousa-Pinto, 2011)"},"properties":{"noteIndex":0},"schema":"https://github.com/citation-style-language/schema/raw/master/csl-citation.json"}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(Magierowski &amp; Johnson, 2006; Rubal, Veiga, Vieira, &amp; Sousa-Pinto, 2011)</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 An effective surrogate must maintain a stable relationship with the target over time because environmental conditions vary and a species’ ability to respond to this variation across time changes. One of the few longer studies (&gt;10 years) concluded that their main surrogate of interest, percent canopy cover, was a reliable predictor of bird species richness at 3 of their 4 study areas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{"citationItems":[{"id":"ITEM-1","itemData":{"DOI":"10.1016/j.ecolind.2015.10.031","ISSN":"1470160X","abstract":"Landscape features are often used as surrogates for biodiversity. While landscape features may perform well as surrogates for coarse metrics of biodiversity such as species richness, their value for monitoring population trends in individual species is virtually unexplored. We compared the performance of a proposed habitat surrogate for birds, percentage cover of vegetation overstory, for two distinct aspects of bird assemblages: community diversity (i.e. species richness) and population trends. We used four different long-term studies of open woodland habitats to test the consistency of the relationship between overstory percentage cover and bird species richness across a large spatial extent (&gt;1000 km) in Australia. We then identified twelve bird species with long-term time-series data to test the relationship between change in overstory cover and populations trends. We found percentage cover performed consistently as a surrogate for species richness in three of the four sites. However, there was no clear pattern in the performance of change in percentage cover as a surrogate for population trends. Four bird species exhibited a significant relationship with change in percentage overstory cover in one study, but this was not found across multiple studies. These results demonstrate a lack of consistency in the relationship between change in overstory cover and population trends among bird species, both within and between geographic regions. Our study demonstrates that biodiversity surrogates representing community-level metrics may be consistent across regions, but provide only limited information about individual species population trends. Understanding the limitations of the information provided by a biodiversity surrogate can inform the appropriate context for its application.","author":[{"dropping-particle":"","family":"Pierson","given":"J. C.","non-dropping-particle":"","parse-names":false,"suffix":""},{"dropping-particle":"","family":"Mortelliti","given":"A.","non-dropping-particle":"","parse-names":false,"suffix":""},{"dropping-particle":"","family":"Barton","given":"P. S.","non-dropping-particle":"","parse-names":false,"suffix":""},{"dropping-particle":"","family":"Lane","given":"P. W.","non-dropping-particle":"","parse-names":false,"suffix":""},{"dropping-particle":"","family":"Lindenmayer","given":"D. B.","non-dropping-particle":"","parse-names":false,"suffix":""}],"container-title":"Ecological Indicators","id":"ITEM-1","issued":{"date-parts":[["2016"]]},"note":"-Alessio is one of the co-authors (personal note)\n-Example of long-term surrogate study (&amp;gt;10 years)\n-% canopy cover reliable predictor of bird richness","page":"790-798","title":"Evaluating the effectiveness of overstory cover as a surrogate for bird community diversity and population trends","type":"article-journal","volume":"61"},"uris":["http://www.mendeley.com/documents/?uuid=8ec49a1c-7024-3d57-a4d1-d6988be8e038"]}],"mendeley":{"formattedCitation":"(Pierson, Mortelliti, Barton, Lane, &amp; Lindenmayer, 2016)","plainTextFormattedCitation":"(Pierson, Mortelliti, Barton, Lane, &amp; Lindenmayer, 2016)","previouslyFormattedCitation":"(Pierson, Mortelliti, Barton, Lane, &amp; Lindenmayer, 2016)"},"properties":{"noteIndex":0},"schema":"https://github.com/citation-style-language/schema/raw/master/csl-citation.json"}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(Pierson, Mortelliti, Barton, Lane, &amp; Lindenmayer, 2016)</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 Another ten year study identified a group of 35 surrogates that successfully predicted changes in the target assemblage of 98 benthic macroinvertebrate species in a temperate brackish system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{"citationItems":[{"id":"ITEM-1","itemData":{"DOI":"10.1016/j.marpolbul.2018.04.047","ISSN":"18793363","abstract":"The use of higher taxa or alternative approach to species surrogacy, such as the BestAgg procedure, could represent cost-effective solutions to avoid expensive species-level identifications in monitoring activities, especially on the long term. However, whether a set of surrogates would be effective in subsequent reiteration of the same assessment remains largely unsolved. We used a long-term dataset on macro-benthic assemblages to test the hypothesis that family-level and BestAgg surrogates which are effective for a limited period of monitoring could be successfully applied to quantify community patterns also in subsequent monitoring programmes. The effectiveness of surrogates in detecting temporal variations in assemblage structure as at species level remained basically unaffected over a decade. Recognizing once and for all if species surrogacy may have a practical value for monitoring will strongly depend on future assessments of the potential of surrogates to reflect community changes and to retain this prerogative over time.","author":[{"dropping-particle":"","family":"Bevilacqua","given":"S.","non-dropping-particle":"","parse-names":false,"suffix":""},{"dropping-particle":"","family":"Mistri","given":"M.","non-dropping-particle":"","parse-names":false,"suffix":""},{"dropping-particle":"","family":"Terlizzi","given":"A.","non-dropping-particle":"","parse-names":false,"suffix":""},{"dropping-particle":"","family":"Munari","given":"C.","non-dropping-particle":"","parse-names":false,"suffix":""}],"container-title":"Marine Pollution Bulletin","id":"ITEM-1","issued":{"date-parts":[["2018"]]},"note":"-The authors were trying new methods using software they developed to better identify taxonomic surrogates for prediction purposes.\n\n-found surrogates remained effective over time\n-I like how the intro is set up\n-good analysis ideas\n-looks at a 10 year time period and uses the first 5 years to ID a surrogate and tests the surrogate effectiveness in the second 5 years\n-brackish lagoons in Mediterranean (temperate)","title":"Assessing the effectiveness of surrogates for species over time: Evidence from decadal monitoring of a Mediterranean transitional water ecosystem","type":"article-journal"},"uris":["http://www.mendeley.com/documents/?uuid=77c96239-688c-36b4-ad9d-7a35e781d71b"]}],"mendeley":{"formattedCitation":"(Bevilacqua, Mistri, Terlizzi, &amp; Munari, 2018)","plainTextFormattedCitation":"(Bevilacqua, Mistri, Terlizzi, &amp; Munari, 2018)","previouslyFormattedCitation":"(Bevilacqua, Mistri, Terlizzi, &amp; Munari, 2018)"},"properties":{"noteIndex":0},"schema":"https://github.com/citation-style-language/schema/raw/master/csl-citation.json"}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(Bevilacqua, Mistri, Terlizzi, &amp; Munari, 2018)</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The need for more studies that investigate the effectiveness of surrogates over time is evident.</w:t>
      </w:r>
    </w:p>
    <w:p w:rsidR="002F2676" w:rsidRPr="002F2676" w:rsidRDefault="002F2676" w:rsidP="002F2676">
      <w:pPr>
        <w:spacing w:after="0" w:line="480" w:lineRule="auto"/>
        <w:ind w:firstLine="720"/>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rPr>
        <w:t xml:space="preserve">Another widespread feature of using surrogates to predict species richness is a reduction of taxonomic resolution in the case of taxonomic surrogates or the possible elimination of the need to identify species altogether in the case of functional or landscape feature surrogates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{"citationItems":[{"id":"ITEM-1","itemData":{"DOI":"10.1111/ddi.12361","ISBN":"1472-4642","abstract":"Aim Ecological maps are increasingly used to support marine management and conservation. However, the biological datasets used to produce these maps are typically limited to taxonomic groups identified to the specific taxonomic levels available. Ecological units should, however, reflect the broader marine ecosystem, independent of the datasets used. This study assessed the influence of taxonomic groups and taxonomic resolution on the process of ecological mapping. Location Estuary and Gulf of St Lawrence (EGSL), Canada. Methods A dataset of more than 200 taxa of benthic macrofauna was used to create a set of biological matrices corresponding to different taxonomic groups (i.e. vertebrates, invertebrates, arthropods, echinoderms, molluscs, all taxa) and different taxonomic levels from species to class. Multivariate regression trees (MRTs) were used to identify environmental drivers of taxa distribution and to create ecological maps. Similarity between maps was assessed using pairwise comparisons. First, the relationships between the two classification legends were assessed using association plots on the partitions in the corresponding trees. Then, the spatial agreement of ecological units believed to represent the same habitat types was quantified and mapped. Results The comparison across different taxonomic groups showed a substantial level of similarity between ecological maps, indicating that ecological units defined for a specific taxonomic group can be considered to some extent as representative of the entire benthic macrofauna. Moreover, little information was lost when working at the family rather than species level, and common patterns of community distribution could still be distinguished at the class level. Main conclusions Using a novel spatially explicit approach for comparing ecological maps, this study demonstrates that datasets limited by taxonomic breadth or resolution can perform nearly as well as more extensive datasets. These simplifications should improve our ability to manage marine ecosystems.","author":[{"dropping-particle":"","family":"Fontaine","given":"Anne","non-dropping-particle":"","parse-names":false,"suffix":""},{"dropping-particle":"","family":"Devillers","given":"Rodolphe","non-dropping-particle":"","parse-names":false,"suffix":""},{"dropping-particle":"","family":"Peres-Neto","given":"Pedro R.","non-dropping-particle":"","parse-names":false,"suffix":""},{"dropping-particle":"","family":"Johnson","given":"Ladd E.","non-dropping-particle":"","parse-names":false,"suffix":""}],"container-title":"Diversity and Distributions","id":"ITEM-1","issued":{"date-parts":[["2015"]]},"note":"-Taxonomic surrogates have reduced taxonomic resolution than species\n-Many papers looking at effectiveness of taxonomic surrogates focus on taxonomic sufficiency (i.e. the taxonomic level at which effort is minimal, but information is maximized; a balance of the two aspects of a surrogate)","page":"1167-1180","title":"Delineating marine ecological units: A novel approach for deciding which taxonomic group to use and which taxonomic resolution to choose","type":"article-journal","volume":"21"},"uris":["http://www.mendeley.com/documents/?uuid=3505c960-16d8-3e21-9a64-4a45efe1f959"]},{"id":"ITEM-2","itemData":{"DOI":"10.1016/j.marenvres.2010.12.004","ISSN":"01411136","PMID":"21196046","abstract":"Taxonomic Sufficiency (TS) has been proposed as a short-cut method to quantify changes of biological assemblages in environmental monitoring. However, issues about the efficacy of taxonomic surrogates in depicting long-term temporal patterns of marine assemblages are still scant. Here we report on the adoption of TS combined with data transformations to describe patterns of North Adriatic polychaete assemblages through 20 years. Univariate and multivariate analyses revealed large spatial-temporal variation charactering the assemblages. The efficiency to discriminate between the two research periods (1990-1994 vs. 2004-2008) was reduced when data were analyzed at family and order level leading to misinterpreting the sources of assemblage variation. Further information was lost with data transforms. Families may represent appropriate assemblages' descriptors in long-term monitoring, but using TS coupled with data transformations could lead to hazardous loss of information. We suggest that periodical analysis at fine taxonomic level should be routinely alternated to long-term monitoring based on TS in order to check its effectiveness. © 2010 Elsevier Ltd.","author":[{"dropping-particle":"","family":"Musco","given":"Luigi","non-dropping-particle":"","parse-names":false,"suffix":""},{"dropping-particle":"","family":"Mikac","given":"Barbara","non-dropping-particle":"","parse-names":false,"suffix":""},{"dropping-particle":"","family":"Tataranni","given":"Mariella","non-dropping-particle":"","parse-names":false,"suffix":""},{"dropping-particle":"","family":"Giangrande","given":"Adriana","non-dropping-particle":"","parse-names":false,"suffix":""},{"dropping-particle":"","family":"Terlizzi","given":"Antonio","non-dropping-particle":"","parse-names":false,"suffix":""}],"container-title":"Marine Environmental Research","id":"ITEM-2","issued":{"date-parts":[["2011"]]},"note":"-Taxonomic surrogates have reduced taxonomic resolution than species\n-Many papers looking at effectiveness of taxonomic surrogates focus on taxonomic sufficiency (i.e. the taxonomic level at which effort is minimal, but information is maximized; a balance of the two aspects of a surrogate)\n\n-polychaetes\n-may provide background in case someone asks why I didn't employ taxonomic sufficiency in the study\n-the BVI data relies on visual rather than taxonomic groupings and therefore doesn't lend itself to TS","page":"131-138","title":"The use of coarser taxonomy in the detection of long-term changes in polychaete assemblages","type":"article-journal","volume":"71"},"uris":["http://www.mendeley.com/documents/?uuid=3620fd69-7d72-310a-834b-232f649f80ea"]},{"id":"ITEM-3","itemData":{"author":[{"dropping-particle":"","family":"Olsgard","given":"Frode","non-dropping-particle":"","parse-names":false,"suffix":""},{"dropping-particle":"","family":"Somerfield","given":"Paul J.","non-dropping-particle":"","parse-names":false,"suffix":""}],"container-title":"Journal of Aquatic Ecosystem Stress and Recovery","id":"ITEM-3","issued":{"date-parts":[["2000"]]},"note":"-Taxonomic surrogates have reduced taxonomic resolution than species\n-Many papers looking at effectiveness of taxonomic surrogates focus on taxonomic sufficiency (i.e. the taxonomic level at which effort is minimal, but information is maximized; a balance of the two aspects of a surrogate)\n\n-static\n-polychates","page":"25-42","title":"Surrogates in marine benthic investigations - which taxonomic unit to target?","type":"article-journal","volume":"7"},"uris":["http://www.mendeley.com/documents/?uuid=d9d7a0f4-7fe2-313f-966e-ba24b78782fc"]}],"mendeley":{"formattedCitation":"(Fontaine, Devillers, Peres-Neto, &amp; Johnson, 2015; Musco, Mikac, Tataranni, Giangrande, &amp; Terlizzi, 2011; Olsgard &amp; Somerfield, 2000)","plainTextFormattedCitation":"(Fontaine, Devillers, Peres-Neto, &amp; Johnson, 2015; Musco, Mikac, Tataranni, Giangrande, &amp; Terlizzi, 2011; Olsgard &amp; Somerfield, 2000)","previouslyFormattedCitation":"(Fontaine, Devillers, Peres-Neto, &amp; Johnson, 2015; Musco, Mikac, Tataranni, Giangrande, &amp; Terlizzi, 2011; Olsgard &amp; Somerfield, 2000)"},"properties":{"noteIndex":0},"schema":"https://github.com/citation-style-language/schema/raw/master/csl-citation.json"}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 xml:space="preserve">(Fontaine, Devillers, Peres-Neto, &amp; Johnson, 2015; Musco, Mikac, Tataranni, Giangrande, &amp; </w:t>
      </w:r>
      <w:r w:rsidR="009A72EA" w:rsidRPr="009A72EA">
        <w:rPr>
          <w:rFonts w:ascii="Times New Roman" w:eastAsia="Times New Roman" w:hAnsi="Times New Roman" w:cs="Times New Roman"/>
          <w:noProof/>
          <w:color w:val="000000"/>
          <w:sz w:val="24"/>
          <w:szCs w:val="24"/>
        </w:rPr>
        <w:lastRenderedPageBreak/>
        <w:t>Terlizzi, 2011; Olsgard &amp; Somerfield, 2000)</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 Monitoring species richness requires substantial taxonomic expertise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{"citationItems":[{"id":"ITEM-1","itemData":{"author":[{"dropping-particle":"","family":"Hirst","given":"Alastair J.","non-dropping-particle":"","parse-names":false,"suffix":""}],"container-title":"Biological Conservation","id":"ITEM-1","issued":{"date-parts":[["2008"]]},"note":"-Species richness requires taxonomic expertise","page":"211-220","title":"Surrogate measures for assessing cryptic faunal biodiversity on macroalgal-dominated subtidal reefs","type":"article-journal","volume":"141"},"uris":["http://www.mendeley.com/documents/?uuid=5b878b0b-8cd9-3d0a-9a1f-735895f16504"]},{"id":"ITEM-2","itemData":{"DOI":"10.1016/j.ecolind.2012.02.033","ISBN":"1470-160X","ISSN":"1470160X","abstract":"In European forests, large scale biodiversity monitoring networks need to be implemented - networks which include components such as taxonomical groups that are at risk and that depend directly on forest stand structure. In this context, monitoring the species-rich group of saproxylic beetles is challenging. In the absence of sufficient resources to comprehensively survey a particular group, surrogates of species richness can be meaningful tools in biodiversity evaluations. In search of restricted subsets of species to use as surrogates of saproxylic beetle richness, we led a case study in Western Europe. Beetle data were compiled from 67 biodiversity surveys and ecological studies carried out from 1999 to 2010 with standardised trapping methods in France and Belgium. This large-scale dataset contains 642 forest plots, 1521 traps and 856 species. Twenty-two simplified species subsets were identified as potential surrogates, as well as the number of genera, a higher taxonomic level, taking into account, for each surrogate, the effort required for species identification, the practical monitoring experience necessary, the species conservation potential or the frequency of species occurrence. The performance of each surrogate was analyzed based on the following parameters: overall surrogacy (correlation between subset richness and total species richness), surrogacy vs. identification cost balance, surrogacy variation over a wide range of ecological conditions (forest type, altitude, latitude and bio-geographical area) and consistency with spatial scale. Ecological representativeness and ability to monitor rare species were supplementary criteria used to assess surrogate performance. The subsets consisting of the identifiable (or only easy-to-identify species) could easily be applied in practice and appear to be the best performing subsets, from a global point of view. The number of genera showed good prediction at the trap level and its surrogacy did not vary across wide environmental gradients. However, the subset of easy-to-identify species and the genus number were highly sensitive to spatial scale, which limits their use in large-scale studies. The number of rare species or the species richness of single beetle families (even the best single-family subset, the Cerambycidae) was very weak surrogates for total species richness. Conversely, the German list of monitoring species had high surrogacy, low identification costs and was not strongly influenced by…","author":[{"dropping-particle":"","family":"Sebek","given":"Pavel","non-dropping-particle":"","parse-names":false,"suffix":""},{"dropping-particle":"","family":"Barnouin","given":"Thomas","non-dropping-particle":"","parse-names":false,"suffix":""},{"dropping-particle":"","family":"Brin","given":"Antoine","non-dropping-particle":"","parse-names":false,"suffix":""},{"dropping-particle":"","family":"Brustel","given":"Hervé","non-dropping-particle":"","parse-names":false,"suffix":""},{"dropping-particle":"","family":"Dufrêne","given":"Marc","non-dropping-particle":"","parse-names":false,"suffix":""},{"dropping-particle":"","family":"Gosselin","given":"Frederic","non-dropping-particle":"","parse-names":false,"suffix":""},{"dropping-particle":"","family":"Meriguet","given":"Bruno","non-dropping-particle":"","parse-names":false,"suffix":""},{"dropping-particle":"","family":"Micas","given":"Lilian","non-dropping-particle":"","parse-names":false,"suffix":""},{"dropping-particle":"","family":"Noblecourt","given":"Thierry","non-dropping-particle":"","parse-names":false,"suffix":""},{"dropping-particle":"","family":"Rose","given":"Olivier","non-dropping-particle":"","parse-names":false,"suffix":""},{"dropping-particle":"","family":"Velle","given":"Laurent","non-dropping-particle":"","parse-names":false,"suffix":""},{"dropping-particle":"","family":"Bouget","given":"Christophe","non-dropping-particle":"","parse-names":false,"suffix":""}],"container-title":"Ecological Indicators","id":"ITEM-2","issued":{"date-parts":[["2012"]]},"note":"-Richness requires taxonomic expertise\n\nlooking at different levels of taxonomic resolution - look up their references","page":"304-315","publisher":"Elsevier Ltd","title":"A test for assessment of saproxylic beetle biodiversity using subsets of \"monitoring species\"","type":"article-journal","volume":"20"},"uris":["http://www.mendeley.com/documents/?uuid=05b5c7fc-9d4d-3677-b214-4815c19f07c0"]}],"mendeley":{"formattedCitation":"(Hirst, 2008; Sebek et al., 2012)","plainTextFormattedCitation":"(Hirst, 2008; Sebek et al., 2012)","previouslyFormattedCitation":"(Hirst, 2008; Sebek et al., 2012)"},"properties":{"noteIndex":0},"schema":"https://github.com/citation-style-language/schema/raw/master/csl-citation.json"}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(Hirst, 2008; Sebek et al., 2012)</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 Moreover, some species that can be recognized in the lab using morphological features or genetic markers cannot be distinguished in situ during field surveys. When individuals are not phenotypically distinguishable between taxonomic groups, studies sometimes use recognizable taxonomic units (RTU’s) or morphospecies that are defined by readily identifiable characteristics in the field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{"citationItems":[{"id":"ITEM-1","itemData":{"author":[{"dropping-particle":"","family":"Derraik","given":"José G. B.","non-dropping-particle":"","parse-names":false,"suffix":""},{"dropping-particle":"","family":"Closs","given":"Gerard P.","non-dropping-particle":"","parse-names":false,"suffix":""},{"dropping-particle":"","family":"Dickinson","given":"Katharine J. M.","non-dropping-particle":"","parse-names":false,"suffix":""},{"dropping-particle":"","family":"Sirvid","given":"Philip","non-dropping-particle":"","parse-names":false,"suffix":""},{"dropping-particle":"","family":"Barratt","given":"Barbara I. P.","non-dropping-particle":"","parse-names":false,"suffix":""},{"dropping-particle":"","family":"Patrick","given":"Brian H.","non-dropping-particle":"","parse-names":false,"suffix":""}],"container-title":"Conservation Biology","id":"ITEM-1","issue":"4","issued":{"date-parts":[["2002"]]},"note":"-RTU definition and usage","page":"1015-1023","title":"Arthropod morphospecies versus taxonomic species: A case study with Araneae, Coleoptera, and Lepidoptera","type":"article-journal","volume":"16"},"uris":["http://www.mendeley.com/documents/?uuid=e8f1fc82-6305-326c-a10f-d6bbd34023b3"]}],"mendeley":{"formattedCitation":"(Derraik et al., 2002)","plainTextFormattedCitation":"(Derraik et al., 2002)","previouslyFormattedCitation":"(Derraik et al., 2002)"},"properties":{"noteIndex":0},"schema":"https://github.com/citation-style-language/schema/raw/master/csl-citation.json"}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(Derraik et al., 2002)</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 </w:t>
      </w:r>
    </w:p>
    <w:p w:rsidR="002F2676" w:rsidRPr="002F2676" w:rsidRDefault="002F2676" w:rsidP="002F2676">
      <w:pPr>
        <w:spacing w:after="0" w:line="480" w:lineRule="auto"/>
        <w:ind w:firstLine="720"/>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rPr>
        <w:t xml:space="preserve">Coral reefs are biodiversity hotspots that are globally threatened due to environmental and anthropogenic factors, including ocean acidification, persistent high temperatures, and overfishing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{"citationItems":[{"id":"ITEM-1","itemData":{"author":[{"dropping-particle":"","family":"Hughes","given":"Terence P","non-dropping-particle":"","parse-names":false,"suffix":""}],"container-title":"Science","id":"ITEM-1","issue":"5178","issued":{"date-parts":[["1994"]]},"note":"-Coral reefs are threatened by overfishing","page":"1547-1551","title":"Catastrophes, phase shifts, and large-scale degradation of a Caribbean coral reef","type":"article-journal","volume":"265"},"uris":["http://www.mendeley.com/documents/?uuid=6189f26f-6443-4ab4-bb32-f6163248614f"]},{"id":"ITEM-2","itemData":{"DOI":"10.1038/nature21707","ISBN":"0028-0836","ISSN":"14764687","PMID":"28300113","abstract":"The Great Barrier Reef is the world's largest reef system, but is being increasingly affected by climate change. Terry Hughes and colleagues examine changes in the geographic footprint of mass bleaching events on the Great Barrier Reef over the last two decades, using aerial and underwater survey data combined with satellite-derived measurements of sea surface temperature. They show that the cumulative footprint of multiple bleaching events has expanded to encompass virtually all of the Great Barrier Reef, reducing the number and size of potential refuges. The 2016 bleaching event proved the most severe, affecting 91% of individual reefs. The authors call for immediate global action to reduce the magnitude of climate warming in order to secure a future for coral reefs.","author":[{"dropping-particle":"","family":"Hughes","given":"Terry P.","non-dropping-particle":"","parse-names":false,"suffix":""},{"dropping-particle":"","family":"Kerry","given":"James T.","non-dropping-particle":"","parse-names":false,"suffix":""},{"dropping-particle":"","family":"Álvarez-Noriega","given":"Mariana","non-dropping-particle":"","parse-names":false,"suffix":""},{"dropping-particle":"","family":"Álvarez-Romero","given":"Jorge G.","non-dropping-particle":"","parse-names":false,"suffix":""},{"dropping-particle":"","family":"Anderson","given":"Kristen D.","non-dropping-particle":"","parse-names":false,"suffix":""},{"dropping-particle":"","family":"Baird","given":"Andrew H.","non-dropping-particle":"","parse-names":false,"suffix":""},{"dropping-particle":"","family":"Babcock","given":"Russell C.","non-dropping-particle":"","parse-names":false,"suffix":""},{"dropping-particle":"","family":"Beger","given":"Maria","non-dropping-particle":"","parse-names":false,"suffix":""},{"dropping-particle":"","family":"Bellwood","given":"David R.","non-dropping-particle":"","parse-names":false,"suffix":""},{"dropping-particle":"","family":"Berkelmans","given":"Ray","non-dropping-particle":"","parse-names":false,"suffix":""},{"dropping-particle":"","family":"Bridge","given":"Tom C.","non-dropping-particle":"","parse-names":false,"suffix":""},{"dropping-particle":"","family":"Butler","given":"Ian R.","non-dropping-particle":"","parse-names":false,"suffix":""},{"dropping-particle":"","family":"Byrne","given":"Maria","non-dropping-particle":"","parse-names":false,"suffix":""},{"dropping-particle":"","family":"Cantin","given":"Neal E.","non-dropping-particle":"","parse-names":false,"suffix":""},{"dropping-particle":"","family":"Comeau","given":"Steeve","non-dropping-particle":"","parse-names":false,"suffix":""},{"dropping-particle":"","family":"Connolly","given":"Sean R.","non-dropping-particle":"","parse-names":false,"suffix":""},{"dropping-particle":"","family":"Cumming","given":"Graeme S.","non-dropping-particle":"","parse-names":false,"suffix":""},{"dropping-particle":"","family":"Dalton","given":"Steven J.","non-dropping-particle":"","parse-names":false,"suffix":""},{"dropping-particle":"","family":"Diaz-Pulido","given":"Guillermo","non-dropping-particle":"","parse-names":false,"suffix":""},{"dropping-particle":"","family":"Eakin","given":"C. Mark","non-dropping-particle":"","parse-names":false,"suffix":""},{"dropping-particle":"","family":"Figueira","given":"Will F.","non-dropping-particle":"","parse-names":false,"suffix":""},{"dropping-particle":"","family":"Gilmour","given":"James P.","non-dropping-particle":"","parse-names":false,"suffix":""},{"dropping-particle":"","family":"Harrison","given":"Hugo B.","non-dropping-particle":"","parse-names":false,"suffix":""},{"dropping-particle":"","family":"Heron","given":"Scott F.","non-dropping-particle":"","parse-names":false,"suffix":""},{"dropping-particle":"","family":"Hoey","given":"Andrew S.","non-dropping-particle":"","parse-names":false,"suffix":""},{"dropping-particle":"","family":"Hobbs","given":"Jean-Paul A.","non-dropping-particle":"","parse-names":false,"suffix":""},{"dropping-particle":"","family":"Hoogenboom","given":"Mia O.","non-dropping-particle":"","parse-names":false,"suffix":""},{"dropping-particle":"V.","family":"Kennedy","given":"Emma","non-dropping-particle":"","parse-names":false,"suffix":""},{"dropping-particle":"","family":"Kuo","given":"Chao-yang","non-dropping-particle":"","parse-names":false,"suffix":""},{"dropping-particle":"","family":"Lough","given":"Janice M.","non-dropping-particle":"","parse-names":false,"suffix":""},{"dropping-particle":"","family":"Lowe","given":"Ryan J.","non-dropping-particle":"","parse-names":false,"suffix":""},{"dropping-particle":"","family":"Liu","given":"Gang","non-dropping-particle":"","parse-names":false,"suffix":""},{"dropping-particle":"","family":"McCulloch","given":"Malcolm T.","non-dropping-particle":"","parse-names":false,"suffix":""},{"dropping-particle":"","family":"Malcolm","given":"Hamish A.","non-dropping-particle":"","parse-names":false,"suffix":""},{"dropping-particle":"","family":"McWilliam","given":"Michael J.","non-dropping-particle":"","parse-names":false,"suffix":""},{"dropping-particle":"","family":"Pandolfi","given":"John M.","non-dropping-particle":"","parse-names":false,"suffix":""},{"dropping-particle":"","family":"Pears","given":"Rachel J.","non-dropping-particle":"","parse-names":false,"suffix":""},{"dropping-particle":"","family":"Pratchett","given":"Morgan S.","non-dropping-particle":"","parse-names":false,"suffix":""},{"dropping-particle":"","family":"Schoepf","given":"Verena","non-dropping-particle":"","parse-names":false,"suffix":""},{"dropping-particle":"","family":"Simpson","given":"Tristan","non-dropping-particle":"","parse-names":false,"suffix":""},{"dropping-particle":"","family":"Skirving","given":"William J.","non-dropping-particle":"","parse-names":false,"suffix":""},{"dropping-particle":"","family":"Sommer","given":"Brigitte","non-dropping-particle":"","parse-names":false,"suffix":""},{"dropping-particle":"","family":"Torda","given":"Gergely","non-dropping-particle":"","parse-names":false,"suffix":""},{"dropping-particle":"","family":"Wachenfeld","given":"David R.","non-dropping-particle":"","parse-names":false,"suffix":""},{"dropping-particle":"","family":"Willis","given":"Bette L.","non-dropping-particle":"","parse-names":false,"suffix":""},{"dropping-particle":"","family":"Wilson","given":"Shaun K.","non-dropping-particle":"","parse-names":false,"suffix":""}],"container-title":"Nature","id":"ITEM-2","issued":{"date-parts":[["2017"]]},"note":"-Coral reefs are threatened by higher temperatures","page":"373-377","title":"Global warming and recurrent mass bleaching of corals","type":"article-journal","volume":"543"},"uris":["http://www.mendeley.com/documents/?uuid=cb6b79f0-c9ca-376c-a5d0-1f20285f000f"]}],"mendeley":{"formattedCitation":"(Terence P Hughes, 1994; Terry P. Hughes et al., 2017)","plainTextFormattedCitation":"(Terence P Hughes, 1994; Terry P. Hughes et al., 2017)","previouslyFormattedCitation":"(Terence P Hughes, 1994; Terry P. Hughes et al., 2017)"},"properties":{"noteIndex":0},"schema":"https://github.com/citation-style-language/schema/raw/master/csl-citation.json"}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(Terence P Hughes, 1994; Terry P. Hughes et al., 2017)</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 As such, many reefs are monitored across both spatial and temporal scales. The most commonly measured features of coral reefs are hard coral cover and structural complexity (rugosity). In fact, the temporal decline of these reef features is widely documented because they are so frequently measured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{"citationItems":[{"id":"ITEM-1","itemData":{"abstract":"Reef Check is a coral reef monitoring method which has now been used for a decade in Indonesia. From this first decade of RC surveys in Indonesia from 1997-2006, we can say that overall the hard coral cover (Hard Coral) which is used as an indicator of coral reef health is in the Average category (26-50%), with a downwards trend. The percentage live cover varies from 40.90% to 56.96% with the highest percentage recorded in 2000 and the lowest in 1999. Conversely, the non-living (abiotic) cover was lowest in 2000 and highest in 1999. Butterfly fish are one of the indicators used to assess the pressure from collection for the marine aquarium trade, and there is a slight downward trend in the annual average abundance. Whereas for fish used as indicators of the live reef fish trade and overfishing the figures indicate very heavy fishing pressure, indeed for Barramundi Cod and Humphead Wrasse the figures per transect per year vary from none to one. Invertebrate data are used to describe four aspects; collection for the marine aquarium trade, overfishing, over harvesting and coral predator population explosions. The abundance of organisms used as indicators of the marine aquarium trade tended to increase, whereas the abundance of organisms used as indicators of overfishing and over harvesting show a significant downward trend. The crow of thorns starfish (COTS) Acanthaster plancii which is an indicator of coral predation was recorded at minimal population levels. Overall, the impacts which cause mechanical damage to coral reefs and the level of trash didn't show any clear increasing or decreasing trend. The majority of coral damage was not very serious (level 1) and on average the highest level of damage was caused by anchoring and other boating activities, whereas trash was also at the same level (level 1) and the majority of impacts were classified as \"other\". In conclusion, we are aware that the pressure on our coral reefs is increasing in line with development and resource use across Indonesia. If we are to preserve our coral reefs and their resources which should benefit us all, now and in the future, it is imperative that we build partnerships and each play our part in the wise management of this valuable ecosystem. Best","author":[{"dropping-particle":"","family":"Habibi","given":"Abdullah","non-dropping-particle":"","parse-names":false,"suffix":""},{"dropping-particle":"","family":"Setiasih","given":"Naneng","non-dropping-particle":"","parse-names":false,"suffix":""},{"dropping-particle":"","family":"Sartin","given":"Jensi","non-dropping-particle":"","parse-names":false,"suffix":""}],"container-title":"The Indonesian Reef Check Network","id":"ITEM-1","issued":{"date-parts":[["2007"]]},"note":"-Example that coral cover is frequently measured","title":"A decade of reef check monitoring: Indonesian coral reefs, condition and trends","type":"article-journal"},"uris":["http://www.mendeley.com/documents/?uuid=d821cedc-70f1-369c-9de2-f51862c1353c"]},{"id":"ITEM-2","itemData":{"ISBN":"0077-5630(print); 1943-9660(electronic)","abstract":"The reefs surrounding Bonaire have long been renowned for their high abundance and diversity of scleractinian corals and for their long-time status as a protected marine park. As part of a comprehensive study of the current status of Bonaire's reefs, a quantitative benthic community survey was conducted at 7 locations across depths from 10 to 30 m in early 2008. This showed mean coral cover ranging from 23.7% +/- 3.8 (SE) to 38.4% +/- 4.4 (SE) on the island's leeward shore and 1.6% +/- 0.4 (SE) to 22.4% +/- 3.6 (SE) on the windward shore. Percent cover of macrophytes and turf algae ranged from 41.7% +/- 2.0 (SE) to 51.8% +/- 3.0 (SE) on the leeward shore and 60.8% +/- 4.1 (SE) to 82.7% +/- 2.5 (SE) on the windward shore. Comparison of these results to earlier work from 1982 on the leeward shore and 1988 on the windward shore points to a significant, system-wide decrease in corals, increase in macroalgae and increase in the ratio of algae to corals. These observations point to significant degradation of reefs at a site often described as relatively 'pristine' in the Caribbean and highlight the sensitivity of coral reefs to anthropogenic and natural stresses even on well-protected islands.","author":[{"dropping-particle":"","family":"Stokes","given":"M. Dale","non-dropping-particle":"","parse-names":false,"suffix":""},{"dropping-particle":"","family":"Leichter","given":"James J.","non-dropping-particle":"","parse-names":false,"suffix":""},{"dropping-particle":"","family":"Genovese","given":"Salvatore J.","non-dropping-particle":"","parse-names":false,"suffix":""}],"container-title":"Atoll Research Bulletin","id":"ITEM-2","issued":{"date-parts":[["2010"]]},"note":"-Citation needs review; unclear if published because date says &amp;quot;revised&amp;quot; not &amp;quot;accepted&amp;quot;\n-Example that coral cover is frequently measured","title":"Long-term declines in coral cover at Bonaire, Netherlands Antilles","type":"article-journal"},"uris":["http://www.mendeley.com/documents/?uuid=08709d83-2177-446b-a7fa-96bc17e6a07e"]}],"mendeley":{"formattedCitation":"(Habibi, Setiasih, &amp; Sartin, 2007; Stokes, Leichter, &amp; Genovese, 2010)","plainTextFormattedCitation":"(Habibi, Setiasih, &amp; Sartin, 2007; Stokes, Leichter, &amp; Genovese, 2010)","previouslyFormattedCitation":"(Habibi, Setiasih, &amp; Sartin, 2007; Stokes, Leichter, &amp; Genovese, 2010)"},"properties":{"noteIndex":0},"schema":"https://github.com/citation-style-language/schema/raw/master/csl-citation.json"}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(Habibi, Setiasih, &amp; Sartin, 2007; Stokes, Leichter, &amp; Genovese, 2010)</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 These measures make for good candidate surrogates, as they are simple and affordable to measure, yet how effective they are over long temporal scales remains unknown. </w:t>
      </w:r>
    </w:p>
    <w:p w:rsidR="002F2676" w:rsidRPr="002F2676" w:rsidRDefault="002F2676" w:rsidP="002F2676">
      <w:pPr>
        <w:spacing w:after="0" w:line="480" w:lineRule="auto"/>
        <w:ind w:firstLine="720"/>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rPr>
        <w:t xml:space="preserve">Here, I evaluate the effectiveness of hard coral cover and rugosity as surrogates for species richness of major taxonomic groups on coral reefs over time and space. Sponge cover is also included as a candidate surrogate because sponges play a dominant role in the benthic composition of the reef and contribute to the reef’s three-dimensional structure. Reef fishes, hard corals (Scleractinia), and sponges are dominant coral reef organisms that establish and maintain biodiversity by filling multiple functional roles in coral reef systems and therefore, richness of these groups will be used as the target components of biodiversity in this study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{"citationItems":[{"id":"ITEM-1","itemData":{"DOI":"10.1525/bio.2011.61.10.8","author":[{"dropping-particle":"","family":"Angelini","given":"Christine","non-dropping-particle":"","parse-names":false,"suffix":""},{"dropping-particle":"","family":"Altieri","given":"Andrew H","non-dropping-particle":"","parse-names":false,"suffix":""},{"dropping-particle":"","family":"Silliman","given":"Brian R","non-dropping-particle":"","parse-names":false,"suffix":""},{"dropping-particle":"","family":"Bertness","given":"Mark D","non-dropping-particle":"","parse-names":false,"suffix":""}],"id":"ITEM-1","issue":"10","issued":{"date-parts":[["2018"]]},"note":"-This paper dicusses corals and sponges as foundation species because of the dominant roles they play in coral reef ecosystems.","title":"Interactions among Foundation Species and Their Consequences ­ for Community Organization , Biodiversity , and Conservation","type":"article-journal","volume":"61"},"uris":["http://www.mendeley.com/documents/?uuid=56cafc09-454d-3bab-b5fa-d002d766b0f5"]}],"mendeley":{"formattedCitation":"(Angelini, Altieri, Silliman, &amp; Bertness, 2018)","plainTextFormattedCitation":"(Angelini, Altieri, Silliman, &amp; Bertness, 2018)","previouslyFormattedCitation":"(Angelini, Altieri, Silliman, &amp; Bertness, 2018)"},"properties":{"noteIndex":0},"schema":"https://github.com/citation-style-language/schema/raw/master/csl-citation.json"}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 xml:space="preserve">(Angelini, Altieri, </w:t>
      </w:r>
      <w:r w:rsidR="009A72EA" w:rsidRPr="009A72EA">
        <w:rPr>
          <w:rFonts w:ascii="Times New Roman" w:eastAsia="Times New Roman" w:hAnsi="Times New Roman" w:cs="Times New Roman"/>
          <w:noProof/>
          <w:color w:val="000000"/>
          <w:sz w:val="24"/>
          <w:szCs w:val="24"/>
        </w:rPr>
        <w:lastRenderedPageBreak/>
        <w:t>Silliman, &amp; Bertness, 2018)</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.Specifically, I use percent hard coral cover, percent sponge cover, and rugosity as landscape feature surrogates to predict species richness of corals, fishes, sponges, and combined richness (as the sum of richness across these three groups) using 27 years of monitoring data from eight sites around Guana Island in the British Virgin Islands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{"citationItems":[{"id":"ITEM-1","itemData":{"DOI":"10.1016/j.jnc.2015.01.002","abstract":"Citizen science is increasing and can complement the work of professional scientists, but the value of citizen data is often untested. We therefore compared the long-term changes to coral reefs that were detected by a professional and volunteer monitoring program, operated by University of Rhode Island (URI) staff and Reef Check volunteers, respectively. Both groups monitored reefs in the British Virgin Islands from 1997 to 2012 but mostly monitored different sites (URI 8 sites and Reef Check 4 sites). When URI staff visited the Reef Check sites to perform a side-by-side to comparison, Reef Check fish density estimates were consistently higher than those made by URI observers but benthic indicators showed better agreement. When long-term trends were compared, the two programs detected qualitatively similar trends in the % cover of live coral and coral rubble, but temporal changes in the cover of other benthic indicators were less consistent. The URI program detected a widespread increase in parrotfish densities and a decline in snappers, whereas the Reef Check surveys detected no consistent changes in any fish density indicators. Overall, site-specific temporal trends revealed by the URI program were more often statistically significant than those from Reef Check (twice as often for benthic taxa, and five times as often for fish taxa), which implies greater precision of the scientists' counts. Nonetheless, volunteers were able to detect important changes in benthic communities and so have a valuable role to play in assessing change on coral reefs.","author":[{"dropping-particle":"","family":"Forrester","given":"Graham","non-dropping-particle":"","parse-names":false,"suffix":""},{"dropping-particle":"","family":"Baily","given":"Patricia","non-dropping-particle":"","parse-names":false,"suffix":""},{"dropping-particle":"","family":"Conetta","given":"Dennis","non-dropping-particle":"","parse-names":false,"suffix":""},{"dropping-particle":"","family":"Forrester","given":"Linda","non-dropping-particle":"","parse-names":false,"suffix":""},{"dropping-particle":"","family":"Kintzing","given":"Elizabeth","non-dropping-particle":"","parse-names":false,"suffix":""},{"dropping-particle":"","family":"Jarecki","given":"Lianna","non-dropping-particle":"","parse-names":false,"suffix":""}],"container-title":"Journal for Nature Conservation","id":"ITEM-1","issued":{"date-parts":[["2015"]]},"note":"Also used in Methods","page":"1-9","publisher":"Elsevier GmbH.","title":"Comparing monitoring data collected by volunteers and professionals shows that citizen scientists can detect long-term change on coral reefs","type":"article-journal","volume":"24"},"uris":["http://www.mendeley.com/documents/?uuid=227bf9da-a4d4-42dc-9efe-faeafdc46d4f"]}],"mendeley":{"formattedCitation":"(Forrester et al., 2015)","plainTextFormattedCitation":"(Forrester et al., 2015)","previouslyFormattedCitation":"(Forrester et al., 2015)"},"properties":{"noteIndex":0},"schema":"https://github.com/citation-style-language/schema/raw/master/csl-citation.json"}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(Forrester et al., 2015)</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 </w:t>
      </w:r>
      <w:r w:rsidR="009A72EA">
        <w:rPr>
          <w:rFonts w:ascii="Times New Roman" w:eastAsia="Times New Roman" w:hAnsi="Times New Roman" w:cs="Times New Roman"/>
          <w:color w:val="000000"/>
          <w:sz w:val="24"/>
          <w:szCs w:val="24"/>
        </w:rPr>
        <w:t>******************************</w:t>
      </w:r>
      <w:r w:rsidRPr="002F2676">
        <w:rPr>
          <w:rFonts w:ascii="Times New Roman" w:eastAsia="Times New Roman" w:hAnsi="Times New Roman" w:cs="Times New Roman"/>
          <w:color w:val="000000"/>
          <w:sz w:val="24"/>
          <w:szCs w:val="24"/>
        </w:rPr>
        <w:t>I hypothesize that coral cover will be an effective surrogate for coral species richness because declines in coral cover have been associated with declines in coral diversity (Walton, Hayes, &amp; Gilliam, 2018). Similarly, I hypothesize that coral cover will be an effective surrogate for predicting sponge species richness because declines in coral cover have been associated with increases in sponge cover (Ruzicka et al., 2013); this inverse relationship is most likely due to  competitive interactions between sponges and corals. Coral cover is often positively associated with fish species richness (Jones, McCormick, Srinivasan, &amp; Eagle, 2004; Pratchett, Hoey, Wilson, Messmer, &amp; Graham, 2011), most likely because corals provide fish with food (directly in the case of corallivores and indirectly by providing habitat for prey) and protection from predators. Therefore, I hypothesize that coral cover will be an effective surrogate for fish species richness. I hypothesize that rugosity will be an effective surrogate for fish species richness because greater rugosity should provide a wider variety of structures that may be utilized by a greater diversity of fish species (Darling et al., 2017; Graham et al., 2006; Gratwicke &amp; Speight, 2005; Newman et al., 2015)</w:t>
      </w:r>
      <w:r w:rsidRPr="002F2676">
        <w:rPr>
          <w:rFonts w:ascii="Times New Roman" w:eastAsia="Times New Roman" w:hAnsi="Times New Roman" w:cs="Times New Roman"/>
          <w:color w:val="000000"/>
        </w:rPr>
        <w:t xml:space="preserve"> </w:t>
      </w:r>
      <w:r w:rsidRPr="002F2676">
        <w:rPr>
          <w:rFonts w:ascii="Times New Roman" w:eastAsia="Times New Roman" w:hAnsi="Times New Roman" w:cs="Times New Roman"/>
          <w:color w:val="000000"/>
          <w:sz w:val="24"/>
          <w:szCs w:val="24"/>
        </w:rPr>
        <w:t xml:space="preserve">and fish may respond primarily to the structure of the reef rather than its biological features (Wilson et al., 2009; Wilson, Graham, Pratchett, Jones, &amp; Polunin, 2006). Finally, I hypothesize that rugosity will be an effective surrogate for coral species richness because a greater number of coral species should increase the number of coral morphological types and increase rugosity (Alvarez-Filip, Dulvy, Côteé, Watkinson, &amp; Gill, 2011; Newman et al., 2015). </w:t>
      </w:r>
    </w:p>
    <w:p w:rsidR="002F2676" w:rsidRPr="002F2676" w:rsidRDefault="002F2676" w:rsidP="002F2676">
      <w:pPr>
        <w:spacing w:after="0" w:line="480" w:lineRule="auto"/>
        <w:outlineLvl w:val="0"/>
        <w:rPr>
          <w:rFonts w:ascii="Times New Roman" w:eastAsia="Times New Roman" w:hAnsi="Times New Roman" w:cs="Times New Roman"/>
          <w:b/>
          <w:bCs/>
          <w:kern w:val="36"/>
          <w:sz w:val="48"/>
          <w:szCs w:val="48"/>
        </w:rPr>
      </w:pPr>
      <w:r w:rsidRPr="002F2676">
        <w:rPr>
          <w:rFonts w:ascii="Times New Roman" w:eastAsia="Times New Roman" w:hAnsi="Times New Roman" w:cs="Times New Roman"/>
          <w:b/>
          <w:bCs/>
          <w:color w:val="000000"/>
          <w:kern w:val="36"/>
          <w:sz w:val="24"/>
          <w:szCs w:val="24"/>
        </w:rPr>
        <w:lastRenderedPageBreak/>
        <w:t>Material and Methods</w:t>
      </w:r>
    </w:p>
    <w:p w:rsidR="002F2676" w:rsidRPr="002F2676" w:rsidRDefault="002F2676" w:rsidP="002F2676">
      <w:pPr>
        <w:spacing w:after="0" w:line="480" w:lineRule="auto"/>
        <w:outlineLvl w:val="1"/>
        <w:rPr>
          <w:rFonts w:ascii="Times New Roman" w:eastAsia="Times New Roman" w:hAnsi="Times New Roman" w:cs="Times New Roman"/>
          <w:b/>
          <w:bCs/>
          <w:sz w:val="36"/>
          <w:szCs w:val="36"/>
        </w:rPr>
      </w:pPr>
      <w:r w:rsidRPr="002F2676">
        <w:rPr>
          <w:rFonts w:ascii="Times New Roman" w:eastAsia="Times New Roman" w:hAnsi="Times New Roman" w:cs="Times New Roman"/>
          <w:i/>
          <w:iCs/>
          <w:color w:val="000000"/>
          <w:sz w:val="24"/>
          <w:szCs w:val="24"/>
        </w:rPr>
        <w:t>Field study design</w:t>
      </w:r>
    </w:p>
    <w:p w:rsidR="002F2676" w:rsidRPr="002F2676" w:rsidRDefault="002F2676" w:rsidP="002F2676">
      <w:pPr>
        <w:spacing w:after="0" w:line="480" w:lineRule="auto"/>
        <w:ind w:firstLine="720"/>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rPr>
        <w:t xml:space="preserve">There were eight study sites around Guana Island in the British Virgin Islands (Fig. 1). All sites were similar in covering 0.6-1.0 hectares of fringing reef adjacent to the island at a depth of 10 m. Sites varied in exposure to prevailing weather; sites on the windward north side of the island are more exposed than those on the southern leeward side. Each site was surveyed annually from 1992-2018, except that sponges were not counted in 1992, 1996-1999, 2004, 1993 at Crab Cove, 2014 at Pelican Ghut, or in 2017 at Bigelow Beach and Pelican Ghut. All surveys were conducted between June and August. Each year, fish densities, coral cover, and sponge abundances were measured using 3-22 transects per site. Transects were 20-30.4 m long (mean = 29.95), and placed at selected locations within each site using a haphazard sampling approach. Data were collected as part of an ongoing professional monitoring program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{"citationItems":[{"id":"ITEM-1","itemData":{"DOI":"10.1016/j.jnc.2015.01.002","abstract":"Citizen science is increasing and can complement the work of professional scientists, but the value of citizen data is often untested. We therefore compared the long-term changes to coral reefs that were detected by a professional and volunteer monitoring program, operated by University of Rhode Island (URI) staff and Reef Check volunteers, respectively. Both groups monitored reefs in the British Virgin Islands from 1997 to 2012 but mostly monitored different sites (URI 8 sites and Reef Check 4 sites). When URI staff visited the Reef Check sites to perform a side-by-side to comparison, Reef Check fish density estimates were consistently higher than those made by URI observers but benthic indicators showed better agreement. When long-term trends were compared, the two programs detected qualitatively similar trends in the % cover of live coral and coral rubble, but temporal changes in the cover of other benthic indicators were less consistent. The URI program detected a widespread increase in parrotfish densities and a decline in snappers, whereas the Reef Check surveys detected no consistent changes in any fish density indicators. Overall, site-specific temporal trends revealed by the URI program were more often statistically significant than those from Reef Check (twice as often for benthic taxa, and five times as often for fish taxa), which implies greater precision of the scientists' counts. Nonetheless, volunteers were able to detect important changes in benthic communities and so have a valuable role to play in assessing change on coral reefs.","author":[{"dropping-particle":"","family":"Forrester","given":"Graham","non-dropping-particle":"","parse-names":false,"suffix":""},{"dropping-particle":"","family":"Baily","given":"Patricia","non-dropping-particle":"","parse-names":false,"suffix":""},{"dropping-particle":"","family":"Conetta","given":"Dennis","non-dropping-particle":"","parse-names":false,"suffix":""},{"dropping-particle":"","family":"Forrester","given":"Linda","non-dropping-particle":"","parse-names":false,"suffix":""},{"dropping-particle":"","family":"Kintzing","given":"Elizabeth","non-dropping-particle":"","parse-names":false,"suffix":""},{"dropping-particle":"","family":"Jarecki","given":"Lianna","non-dropping-particle":"","parse-names":false,"suffix":""}],"container-title":"Journal for Nature Conservation","id":"ITEM-1","issued":{"date-parts":[["2015"]]},"note":"Also used in Methods","page":"1-9","publisher":"Elsevier GmbH.","title":"Comparing monitoring data collected by volunteers and professionals shows that citizen scientists can detect long-term change on coral reefs","type":"article-journal","volume":"24"},"uris":["http://www.mendeley.com/documents/?uuid=227bf9da-a4d4-42dc-9efe-faeafdc46d4f"]}],"mendeley":{"formattedCitation":"(Forrester et al., 2015)","plainTextFormattedCitation":"(Forrester et al., 2015)","previouslyFormattedCitation":"(Forrester et al., 2015)"},"properties":{"noteIndex":0},"schema":"https://github.com/citation-style-language/schema/raw/master/csl-citation.json"}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(Forrester et al., 2015)</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w:t>
      </w:r>
    </w:p>
    <w:p w:rsidR="002F2676" w:rsidRPr="002F2676" w:rsidRDefault="002F2676" w:rsidP="002F2676">
      <w:pPr>
        <w:spacing w:after="0" w:line="480" w:lineRule="auto"/>
        <w:outlineLvl w:val="1"/>
        <w:rPr>
          <w:rFonts w:ascii="Times New Roman" w:eastAsia="Times New Roman" w:hAnsi="Times New Roman" w:cs="Times New Roman"/>
          <w:b/>
          <w:bCs/>
          <w:sz w:val="36"/>
          <w:szCs w:val="36"/>
        </w:rPr>
      </w:pPr>
      <w:r w:rsidRPr="002F2676">
        <w:rPr>
          <w:rFonts w:ascii="Times New Roman" w:eastAsia="Times New Roman" w:hAnsi="Times New Roman" w:cs="Times New Roman"/>
          <w:i/>
          <w:iCs/>
          <w:color w:val="000000"/>
          <w:sz w:val="24"/>
          <w:szCs w:val="24"/>
        </w:rPr>
        <w:t>Survey methods</w:t>
      </w:r>
    </w:p>
    <w:p w:rsidR="002F2676" w:rsidRPr="002F2676" w:rsidRDefault="002F2676" w:rsidP="002F2676">
      <w:pPr>
        <w:spacing w:after="0" w:line="480" w:lineRule="auto"/>
        <w:ind w:firstLine="720"/>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rPr>
        <w:t xml:space="preserve">For each transect at each site, corals, sponges, and fishes were sampled once per year using well-established methods (Fig. 2). Fishes were counted within a belt transect 30 m long x 1.5 m wide, and a T-shaped bar was used to determine the transect width as the diver swam along the transect line. Fish counts were restricted to species that are amenable to visual survey, that is, day-active species that are relatively site-attached and reliably visible to divers. Nocturnal species, highly mobile groups such as mackerels (Scombridae) and jacks (Carangidae) that are transient visitors to the sites, and small cryptic groups like gobies (Gobiidae) and blennies (Blennioidei) that often hide in crevices were not surveyed. Newly recruited juvenile fishes (&lt; 1 month on the reef) were also excluded because their abundance is strongly affected by lunar </w:t>
      </w:r>
      <w:r w:rsidRPr="002F2676">
        <w:rPr>
          <w:rFonts w:ascii="Times New Roman" w:eastAsia="Times New Roman" w:hAnsi="Times New Roman" w:cs="Times New Roman"/>
          <w:color w:val="000000"/>
          <w:sz w:val="24"/>
          <w:szCs w:val="24"/>
        </w:rPr>
        <w:lastRenderedPageBreak/>
        <w:t xml:space="preserve">cycles, which complicates the detection of long-term trends. Because fish were the only mobile organisms of the three taxonomic groups included in this study, the fish survey was conducted first for each transect in order to reduce the bias caused by “spooking” the fish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{"citationItems":[{"id":"ITEM-1","itemData":{"DOI":"10.7717/peerj.4886","ISBN":"0-8186-9027-5","abstract":"Ecological monitoring programs typically aim to detect changes in the abundance of species of conservation concern or which reflect system status. Coral reef fish assemblages are functionally important for reef health and these are most commonly monitored using underwater visual surveys (UVS) by divers. In addition to estimating numbers, most programs also collect estimates of fish lengths to allow calculation of biomass, an important determinant of a fish’s functional impact. However, diver surveys may be biased because fishes may either avoid or are attracted to divers and the process of estimating fish length could result in fish counts that differ from those made without length estimations. Here we investigated whether (1) general diver disturbance and (2) the additional task of estimating fish lengths affected estimates of reef fish abundance and species richness during UVS, and for how long. Initial estimates of abundance and species richness were significantly higher than those made on the same section of reef after diver disturbance. However, there was no evidence that estimating fish lengths at the same time as abundance resulted in counts different from those made when estimating abundance alone. Similarly, there was little consistent bias among observers. Estimates of the time for fish taxa that avoided divers after initial contact to return to initial levels of abundance varied from three to 17 h, with one group of exploited fishes showing initial attraction to divers that declined over the study period. Our finding that many reef fishes may disperse for such long periods after initial contact with divers suggests that monitoring programs should take great care to minimise diver disturbance prior to surveys.","author":[{"dropping-particle":"","family":"Emslie","given":"Michael J.","non-dropping-particle":"","parse-names":false,"suffix":""},{"dropping-particle":"","family":"Cheal","given":"Alistair J.","non-dropping-particle":"","parse-names":false,"suffix":""},{"dropping-particle":"","family":"MacNeil","given":"M. Aaron","non-dropping-particle":"","parse-names":false,"suffix":""},{"dropping-particle":"","family":"Miller","given":"Ian R.","non-dropping-particle":"","parse-names":false,"suffix":""},{"dropping-particle":"","family":"Sweatman","given":"Hugh P. A.","non-dropping-particle":"","parse-names":false,"suffix":""}],"container-title":"PeerJ","id":"ITEM-1","issued":{"date-parts":[["2018"]]},"note":"Methods: This paper justifies why the diver conducting the fish surveys (Graham) was the first to survey each transect.","title":"Reef fish communities are spooked by scuba surveys and may take hours to recover","type":"article-journal"},"uris":["http://www.mendeley.com/documents/?uuid=789cc849-56e4-4168-99f8-f78dc002466a"]}],"mendeley":{"formattedCitation":"(Emslie, Cheal, MacNeil, Miller, &amp; Sweatman, 2018)","plainTextFormattedCitation":"(Emslie, Cheal, MacNeil, Miller, &amp; Sweatman, 2018)","previouslyFormattedCitation":"(Emslie, Cheal, MacNeil, Miller, &amp; Sweatman, 2018)"},"properties":{"noteIndex":0},"schema":"https://github.com/citation-style-language/schema/raw/master/csl-citation.json"}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(Emslie, Cheal, MacNeil, Miller, &amp; Sweatman, 2018)</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 We used the linear point-intercept method to record the substrate, sponge, or coral (identified to the finest taxonomic resolution) every 0.25 m along the 30-m transect. These point observations were later converted to surface area estimates of coral percent cover and sponge percent cover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{"citationItems":[{"id":"ITEM-1","itemData":{"author":[{"dropping-particle":"","family":"Almada-Villela","given":"P. C.","non-dropping-particle":"","parse-names":false,"suffix":""},{"dropping-particle":"","family":"Sale","given":"P. F.","non-dropping-particle":"","parse-names":false,"suffix":""},{"dropping-particle":"","family":"Gold-Bouchot","given":"G.","non-dropping-particle":"","parse-names":false,"suffix":""},{"dropping-particle":"","family":"Kjerfve","given":"B.","non-dropping-particle":"","parse-names":false,"suffix":""}],"id":"ITEM-1","issued":{"date-parts":[["2003"]]},"note":"Methods: percent cover","publisher":"Mesoamerican Barrier Reef Systems project (MBRS)","publisher-place":"Belize City","title":"Manual of methods for the MBRS synoptic monitoring program: Selected methods for monitoring physical and biological parameters for use in the Mesoamerican region","type":"book"},"uris":["http://www.mendeley.com/documents/?uuid=256fd27a-447f-4ba8-b176-ae1c1c5a1381"]}],"mendeley":{"formattedCitation":"(Almada-Villela, Sale, Gold-Bouchot, &amp; Kjerfve, 2003)","plainTextFormattedCitation":"(Almada-Villela, Sale, Gold-Bouchot, &amp; Kjerfve, 2003)","previouslyFormattedCitation":"(Almada-Villela, Sale, Gold-Bouchot, &amp; Kjerfve, 2003)"},"properties":{"noteIndex":0},"schema":"https://github.com/citation-style-language/schema/raw/master/csl-citation.json"}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(Almada-Villela, Sale, Gold-Bouchot, &amp; Kjerfve, 2003)</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xml:space="preserve">. Sponges were surveyed using the line intercept method in which any sponge that intercepted the transect was recorded and identified to the finest taxonomic resolution. </w:t>
      </w:r>
    </w:p>
    <w:p w:rsidR="002F2676" w:rsidRPr="002F2676" w:rsidRDefault="002F2676" w:rsidP="002F2676">
      <w:pPr>
        <w:spacing w:after="0" w:line="480" w:lineRule="auto"/>
        <w:ind w:firstLine="720"/>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rPr>
        <w:t>Fish and sponge data were collected by a single respective expert observer. Coral data were collected by three observers, but new observers’ species identifications and counts were calibrated with those of another observer during a training period of at least 15 dives before their data were incorporated into the study.</w:t>
      </w:r>
    </w:p>
    <w:p w:rsidR="002F2676" w:rsidRPr="002F2676" w:rsidRDefault="002F2676" w:rsidP="002F2676">
      <w:pPr>
        <w:spacing w:after="0" w:line="480" w:lineRule="auto"/>
        <w:ind w:firstLine="720"/>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rPr>
        <w:t xml:space="preserve">Rugosity was measured as a proxy for three-dimensional structural complexity using the consecutive height difference method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{"citationItems":[{"id":"ITEM-1","itemData":{"DOI":"10.3354/meps112087","abstract":"The relationships between 6 measures of substratum topography or vertical relief and a tropical fish assemblage were evaluated and the merits of the various measures were assessed. A method of quantifying surface topography in the field using a profile gauge is introduced and found to be rapid and to generate concise summary statistics. Of the 6 measures of substratum topography com- pared, 1 was novel, 2 were derivations of geomorphological techniques and 3 had been previously used in reef fish studies. Measures included the sum of consecutive substratum height differences, vector standard deviation (SD), substratum angle SD, substratum height SD, substratum height coefficient of variation (CV) and the ratio of contoured surface distance to linear distance ('chain-and-tape'). All but the CV were found to grossly differentiate among surfaces that varied in corrugation height and frequency. Consecutive substratum height difference, substratum angle SD and vector SD were best able to differentiate between 9 schematic profiles of varying topography. A field test of the methods was carried out on 100 quadrats (3 X 3 m) from the backreef of Lizard Island, northern Great Barrier Reef, Australia, in which the surface topography, fish and benthic communities had been sampled. The consecutive height difference method performed consistently well, scoring the highest average corre- lations with total fish abundance, diversity and the abundance of individual species. In an examination of the relationship between the backreef fish assemblage, substratum topography and the cover of benthic organisms, topography was only secondary in importance to depth in describing the patterns of damselfish abundance at the scale sampled.","author":[{"dropping-particle":"","family":"McCormick","given":"Mark I.","non-dropping-particle":"","parse-names":false,"suffix":""}],"container-title":"Marine Ecology Progress Series","id":"ITEM-1","issued":{"date-parts":[["1994"]]},"note":"Methods: Rugosity","page":"87-96","title":"Comparison of field methods for measuring surface topography and their associations with a tropical reef fish assemblage","type":"article-journal","volume":"112"},"uris":["http://www.mendeley.com/documents/?uuid=bd007c76-9770-46e4-a7bc-af711d3a3207"]}],"mendeley":{"formattedCitation":"(McCormick, 1994)","plainTextFormattedCitation":"(McCormick, 1994)","previouslyFormattedCitation":"(McCormick, 1994)"},"properties":{"noteIndex":0},"schema":"https://github.com/citation-style-language/schema/raw/master/csl-citation.json"}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(McCormick, 1994)</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 where a diver records the difference between the height of the transect tape and the substrate at 50 cm intervals along each transect. These points are used to calculate a rugosity index where a value of 0 is flat and vertical complexity increases as the value increases.</w:t>
      </w:r>
    </w:p>
    <w:p w:rsidR="002F2676" w:rsidRDefault="002F2676" w:rsidP="002F2676">
      <w:pPr>
        <w:spacing w:after="0" w:line="480" w:lineRule="auto"/>
        <w:ind w:firstLine="720"/>
        <w:outlineLvl w:val="1"/>
        <w:rPr>
          <w:rFonts w:ascii="Times New Roman" w:eastAsia="Times New Roman" w:hAnsi="Times New Roman" w:cs="Times New Roman"/>
          <w:color w:val="000000"/>
          <w:sz w:val="24"/>
          <w:szCs w:val="24"/>
        </w:rPr>
      </w:pPr>
      <w:r w:rsidRPr="002F2676">
        <w:rPr>
          <w:rFonts w:ascii="Times New Roman" w:eastAsia="Times New Roman" w:hAnsi="Times New Roman" w:cs="Times New Roman"/>
          <w:color w:val="000000"/>
          <w:sz w:val="24"/>
          <w:szCs w:val="24"/>
        </w:rPr>
        <w:t xml:space="preserve">Fish, corals and sponges were identified to the most specific taxonomic group possible in the field. There were a total of 119 species of fishes, 27 recognizable taxonomic units of hard corals, </w:t>
      </w:r>
      <w:r w:rsidR="005807B6" w:rsidRPr="002F2676">
        <w:rPr>
          <w:rFonts w:ascii="Times New Roman" w:eastAsia="Times New Roman" w:hAnsi="Times New Roman" w:cs="Times New Roman"/>
          <w:color w:val="000000"/>
          <w:sz w:val="24"/>
          <w:szCs w:val="24"/>
        </w:rPr>
        <w:t>and 58</w:t>
      </w:r>
      <w:r w:rsidRPr="002F2676">
        <w:rPr>
          <w:rFonts w:ascii="Times New Roman" w:eastAsia="Times New Roman" w:hAnsi="Times New Roman" w:cs="Times New Roman"/>
          <w:color w:val="000000"/>
          <w:sz w:val="24"/>
          <w:szCs w:val="24"/>
        </w:rPr>
        <w:t xml:space="preserve"> recognizable taxonomic units of sponges. </w:t>
      </w:r>
    </w:p>
    <w:p w:rsidR="009A72EA" w:rsidRDefault="009A72EA" w:rsidP="002F2676">
      <w:pPr>
        <w:spacing w:after="0" w:line="480" w:lineRule="auto"/>
        <w:ind w:firstLine="720"/>
        <w:outlineLvl w:val="1"/>
        <w:rPr>
          <w:rFonts w:ascii="Times New Roman" w:eastAsia="Times New Roman" w:hAnsi="Times New Roman" w:cs="Times New Roman"/>
          <w:color w:val="000000"/>
          <w:sz w:val="24"/>
          <w:szCs w:val="24"/>
        </w:rPr>
      </w:pPr>
    </w:p>
    <w:p w:rsidR="009A72EA" w:rsidRPr="002F2676" w:rsidRDefault="009A72EA" w:rsidP="002F2676">
      <w:pPr>
        <w:spacing w:after="0" w:line="480" w:lineRule="auto"/>
        <w:ind w:firstLine="720"/>
        <w:outlineLvl w:val="1"/>
        <w:rPr>
          <w:rFonts w:ascii="Times New Roman" w:eastAsia="Times New Roman" w:hAnsi="Times New Roman" w:cs="Times New Roman"/>
          <w:b/>
          <w:bCs/>
          <w:sz w:val="36"/>
          <w:szCs w:val="36"/>
        </w:rPr>
      </w:pPr>
    </w:p>
    <w:p w:rsidR="002F2676" w:rsidRPr="002F2676" w:rsidRDefault="002F2676" w:rsidP="002F2676">
      <w:pPr>
        <w:spacing w:after="0" w:line="480" w:lineRule="auto"/>
        <w:outlineLvl w:val="1"/>
        <w:rPr>
          <w:rFonts w:ascii="Times New Roman" w:eastAsia="Times New Roman" w:hAnsi="Times New Roman" w:cs="Times New Roman"/>
          <w:b/>
          <w:bCs/>
          <w:sz w:val="36"/>
          <w:szCs w:val="36"/>
        </w:rPr>
      </w:pPr>
      <w:r w:rsidRPr="002F2676">
        <w:rPr>
          <w:rFonts w:ascii="Times New Roman" w:eastAsia="Times New Roman" w:hAnsi="Times New Roman" w:cs="Times New Roman"/>
          <w:i/>
          <w:iCs/>
          <w:color w:val="000000"/>
          <w:sz w:val="24"/>
          <w:szCs w:val="24"/>
        </w:rPr>
        <w:lastRenderedPageBreak/>
        <w:t>Estimating Species Richness</w:t>
      </w:r>
    </w:p>
    <w:p w:rsidR="002F2676" w:rsidRPr="002F2676" w:rsidRDefault="002F2676" w:rsidP="002F2676">
      <w:pPr>
        <w:spacing w:after="0" w:line="480" w:lineRule="auto"/>
        <w:ind w:firstLine="720"/>
        <w:outlineLvl w:val="1"/>
        <w:rPr>
          <w:rFonts w:ascii="Times New Roman" w:eastAsia="Times New Roman" w:hAnsi="Times New Roman" w:cs="Times New Roman"/>
          <w:b/>
          <w:bCs/>
          <w:sz w:val="36"/>
          <w:szCs w:val="36"/>
        </w:rPr>
      </w:pPr>
      <w:r w:rsidRPr="002F2676">
        <w:rPr>
          <w:rFonts w:ascii="Times New Roman" w:eastAsia="Times New Roman" w:hAnsi="Times New Roman" w:cs="Times New Roman"/>
          <w:color w:val="000000"/>
          <w:sz w:val="24"/>
          <w:szCs w:val="24"/>
        </w:rPr>
        <w:t>We used site as the sampling unit because the richness of these taxonomic groups is more relevant at the site level than at the transect level from both ecological and management perspectives. Because there were 3-22 transects in a given year at a given site, 3 transects were randomly selected for each year for each site and site-level estimates of surrogates (coral cover, sponge cover, and rugosity) were calculated by averaging these values across the 3 randomly selected transects. For the same 3 transects for each year for each site, site-level estimates of targets (coral richness, sponge richness, fish richness, and combined richness) were calculated by adding the unique number of species per transect using the following formula.</w:t>
      </w:r>
    </w:p>
    <w:p w:rsidR="002F2676" w:rsidRPr="002F2676" w:rsidRDefault="002F2676" w:rsidP="002F2676">
      <w:pPr>
        <w:shd w:val="clear" w:color="auto" w:fill="FFFFFF"/>
        <w:spacing w:after="0" w:line="240" w:lineRule="auto"/>
        <w:ind w:hanging="720"/>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rPr>
        <w:t>n = number of transects counted at site j in year k (n = 3)</w:t>
      </w:r>
    </w:p>
    <w:p w:rsidR="002F2676" w:rsidRPr="002F2676" w:rsidRDefault="002F2676" w:rsidP="002F2676">
      <w:pPr>
        <w:shd w:val="clear" w:color="auto" w:fill="FFFFFF"/>
        <w:spacing w:after="0" w:line="240" w:lineRule="auto"/>
        <w:ind w:hanging="720"/>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rPr>
        <w:t>y</w:t>
      </w:r>
      <w:r w:rsidRPr="002F2676">
        <w:rPr>
          <w:rFonts w:ascii="Times New Roman" w:eastAsia="Times New Roman" w:hAnsi="Times New Roman" w:cs="Times New Roman"/>
          <w:color w:val="000000"/>
          <w:sz w:val="14"/>
          <w:szCs w:val="14"/>
          <w:vertAlign w:val="subscript"/>
        </w:rPr>
        <w:t>ijk</w:t>
      </w:r>
      <w:r w:rsidRPr="002F2676">
        <w:rPr>
          <w:rFonts w:ascii="Times New Roman" w:eastAsia="Times New Roman" w:hAnsi="Times New Roman" w:cs="Times New Roman"/>
          <w:color w:val="000000"/>
          <w:sz w:val="24"/>
          <w:szCs w:val="24"/>
        </w:rPr>
        <w:t xml:space="preserve"> = number of species counted at site j in transect i and not counted in transects </w:t>
      </w:r>
      <w:r w:rsidRPr="002F2676">
        <w:rPr>
          <w:rFonts w:ascii="Symbol" w:eastAsia="Times New Roman" w:hAnsi="Symbol" w:cs="Times New Roman"/>
          <w:color w:val="000000"/>
          <w:sz w:val="24"/>
          <w:szCs w:val="24"/>
        </w:rPr>
        <w:t>≠</w:t>
      </w:r>
      <w:r w:rsidRPr="002F2676">
        <w:rPr>
          <w:rFonts w:ascii="Times New Roman" w:eastAsia="Times New Roman" w:hAnsi="Times New Roman" w:cs="Times New Roman"/>
          <w:color w:val="000000"/>
          <w:sz w:val="24"/>
          <w:szCs w:val="24"/>
        </w:rPr>
        <w:t xml:space="preserve"> i in year k</w:t>
      </w:r>
    </w:p>
    <w:p w:rsidR="002F2676" w:rsidRPr="002F2676" w:rsidRDefault="002F2676" w:rsidP="002F2676">
      <w:pPr>
        <w:shd w:val="clear" w:color="auto" w:fill="FFFFFF"/>
        <w:spacing w:after="0" w:line="240" w:lineRule="auto"/>
        <w:ind w:hanging="720"/>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rPr>
        <w:t>Y</w:t>
      </w:r>
      <w:r w:rsidRPr="002F2676">
        <w:rPr>
          <w:rFonts w:ascii="Times New Roman" w:eastAsia="Times New Roman" w:hAnsi="Times New Roman" w:cs="Times New Roman"/>
          <w:color w:val="000000"/>
          <w:sz w:val="14"/>
          <w:szCs w:val="14"/>
          <w:vertAlign w:val="subscript"/>
        </w:rPr>
        <w:t>jk</w:t>
      </w:r>
      <w:r w:rsidRPr="002F2676">
        <w:rPr>
          <w:rFonts w:ascii="Times New Roman" w:eastAsia="Times New Roman" w:hAnsi="Times New Roman" w:cs="Times New Roman"/>
          <w:color w:val="000000"/>
          <w:sz w:val="24"/>
          <w:szCs w:val="24"/>
        </w:rPr>
        <w:t xml:space="preserve"> = number of species counted at site j in year k</w:t>
      </w:r>
    </w:p>
    <w:p w:rsidR="002F2676" w:rsidRPr="002F2676" w:rsidRDefault="002F2676" w:rsidP="002F2676">
      <w:pPr>
        <w:spacing w:after="0" w:line="240" w:lineRule="auto"/>
        <w:jc w:val="center"/>
        <w:rPr>
          <w:rFonts w:ascii="Times New Roman" w:eastAsia="Times New Roman" w:hAnsi="Times New Roman" w:cs="Times New Roman"/>
          <w:sz w:val="24"/>
          <w:szCs w:val="24"/>
        </w:rPr>
      </w:pPr>
      <w:r w:rsidRPr="002F2676">
        <w:rPr>
          <w:rFonts w:ascii="Cambria Math" w:eastAsia="Times New Roman" w:hAnsi="Cambria Math" w:cs="Times New Roman"/>
          <w:color w:val="000000"/>
          <w:sz w:val="24"/>
          <w:szCs w:val="24"/>
        </w:rPr>
        <w:t>Yjk=i=1nyijk</w:t>
      </w:r>
    </w:p>
    <w:p w:rsidR="002F2676" w:rsidRPr="002F2676" w:rsidRDefault="002F2676" w:rsidP="002F2676">
      <w:pPr>
        <w:spacing w:after="0" w:line="480" w:lineRule="auto"/>
        <w:ind w:firstLine="720"/>
        <w:outlineLvl w:val="1"/>
        <w:rPr>
          <w:rFonts w:ascii="Times New Roman" w:eastAsia="Times New Roman" w:hAnsi="Times New Roman" w:cs="Times New Roman"/>
          <w:b/>
          <w:bCs/>
          <w:sz w:val="36"/>
          <w:szCs w:val="36"/>
        </w:rPr>
      </w:pPr>
      <w:r w:rsidRPr="002F2676">
        <w:rPr>
          <w:rFonts w:ascii="Times New Roman" w:eastAsia="Times New Roman" w:hAnsi="Times New Roman" w:cs="Times New Roman"/>
          <w:color w:val="000000"/>
          <w:sz w:val="24"/>
          <w:szCs w:val="24"/>
        </w:rPr>
        <w:t>Combined richness was only calculated for sites and years for which richness of all three taxonomic groups was available.</w:t>
      </w:r>
    </w:p>
    <w:p w:rsidR="002F2676" w:rsidRDefault="002F2676" w:rsidP="002F2676">
      <w:pPr>
        <w:spacing w:after="0" w:line="480" w:lineRule="auto"/>
        <w:outlineLvl w:val="1"/>
        <w:rPr>
          <w:rFonts w:ascii="Times New Roman" w:eastAsia="Times New Roman" w:hAnsi="Times New Roman" w:cs="Times New Roman"/>
          <w:i/>
          <w:iCs/>
          <w:color w:val="000000"/>
          <w:sz w:val="24"/>
          <w:szCs w:val="24"/>
        </w:rPr>
      </w:pPr>
    </w:p>
    <w:p w:rsidR="002F2676" w:rsidRPr="002F2676" w:rsidRDefault="002F2676" w:rsidP="002F2676">
      <w:pPr>
        <w:spacing w:after="0" w:line="480" w:lineRule="auto"/>
        <w:outlineLvl w:val="1"/>
        <w:rPr>
          <w:rFonts w:ascii="Times New Roman" w:eastAsia="Times New Roman" w:hAnsi="Times New Roman" w:cs="Times New Roman"/>
          <w:b/>
          <w:bCs/>
          <w:sz w:val="36"/>
          <w:szCs w:val="36"/>
        </w:rPr>
      </w:pPr>
      <w:r w:rsidRPr="002F2676">
        <w:rPr>
          <w:rFonts w:ascii="Times New Roman" w:eastAsia="Times New Roman" w:hAnsi="Times New Roman" w:cs="Times New Roman"/>
          <w:i/>
          <w:iCs/>
          <w:color w:val="000000"/>
          <w:sz w:val="24"/>
          <w:szCs w:val="24"/>
        </w:rPr>
        <w:t>Statistical Analysis</w:t>
      </w:r>
    </w:p>
    <w:p w:rsidR="002F2676" w:rsidRPr="002F2676" w:rsidRDefault="002F2676" w:rsidP="002F2676">
      <w:pPr>
        <w:spacing w:after="0" w:line="480" w:lineRule="auto"/>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rPr>
        <w:tab/>
        <w:t xml:space="preserve">Based on first principles, we used negative binomial regression using the ‘MASS’ package to model richness because it is a count variable </w:t>
      </w:r>
      <w:r w:rsidR="009A72EA">
        <w:rPr>
          <w:rFonts w:ascii="Times New Roman" w:eastAsia="Times New Roman" w:hAnsi="Times New Roman" w:cs="Times New Roman"/>
          <w:color w:val="000000"/>
          <w:sz w:val="24"/>
          <w:szCs w:val="24"/>
        </w:rPr>
        <w:fldChar w:fldCharType="begin" w:fldLock="1"/>
      </w:r>
      <w:r w:rsidR="009A72EA">
        <w:rPr>
          <w:rFonts w:ascii="Times New Roman" w:eastAsia="Times New Roman" w:hAnsi="Times New Roman" w:cs="Times New Roman"/>
          <w:color w:val="000000"/>
          <w:sz w:val="24"/>
          <w:szCs w:val="24"/>
        </w:rPr>
        <w:instrText>ADDIN CSL_CITATION {"citationItems":[{"id":"ITEM-1","itemData":{"ISBN":"0-387-95457-0","author":[{"dropping-particle":"","family":"Venables","given":"W. N.","non-dropping-particle":"","parse-names":false,"suffix":""},{"dropping-particle":"","family":"Ripley","given":"B. D.","non-dropping-particle":"","parse-names":false,"suffix":""}],"edition":"Fourth","id":"ITEM-1","issued":{"date-parts":[["2002"]]},"note":"MASS package","publisher":"Springer","publisher-place":"New York, New York","title":"Modern applied statistics with S","type":"book"},"uris":["http://www.mendeley.com/documents/?uuid=3adb6da9-15f1-48fa-b548-bbc4c924f5bb"]}],"mendeley":{"formattedCitation":"(Venables &amp; Ripley, 2002)","plainTextFormattedCitation":"(Venables &amp; Ripley, 2002)","previouslyFormattedCitation":"(Venables &amp; Ripley, 2002)"},"properties":{"noteIndex":0},"schema":"https://github.com/citation-style-language/schema/raw/master/csl-citation.json"}</w:instrText>
      </w:r>
      <w:r w:rsidR="009A72EA">
        <w:rPr>
          <w:rFonts w:ascii="Times New Roman" w:eastAsia="Times New Roman" w:hAnsi="Times New Roman" w:cs="Times New Roman"/>
          <w:color w:val="000000"/>
          <w:sz w:val="24"/>
          <w:szCs w:val="24"/>
        </w:rPr>
        <w:fldChar w:fldCharType="separate"/>
      </w:r>
      <w:r w:rsidR="009A72EA" w:rsidRPr="009A72EA">
        <w:rPr>
          <w:rFonts w:ascii="Times New Roman" w:eastAsia="Times New Roman" w:hAnsi="Times New Roman" w:cs="Times New Roman"/>
          <w:noProof/>
          <w:color w:val="000000"/>
          <w:sz w:val="24"/>
          <w:szCs w:val="24"/>
        </w:rPr>
        <w:t>(Venables &amp; Ripley, 2002)</w:t>
      </w:r>
      <w:r w:rsidR="009A72EA">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w:t>
      </w:r>
    </w:p>
    <w:p w:rsidR="002F2676" w:rsidRPr="002F2676" w:rsidRDefault="002F2676" w:rsidP="002F2676">
      <w:pPr>
        <w:spacing w:after="0" w:line="480" w:lineRule="auto"/>
        <w:ind w:firstLine="720"/>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shd w:val="clear" w:color="auto" w:fill="FFFFFF"/>
        </w:rPr>
        <w:t xml:space="preserve">To determine which of the candidate surrogates is best at predicting each of the targets, we used simple models with only the </w:t>
      </w:r>
      <w:r w:rsidRPr="002F2676">
        <w:rPr>
          <w:rFonts w:ascii="Times New Roman" w:eastAsia="Times New Roman" w:hAnsi="Times New Roman" w:cs="Times New Roman"/>
          <w:color w:val="000000"/>
          <w:sz w:val="24"/>
          <w:szCs w:val="24"/>
        </w:rPr>
        <w:t xml:space="preserve">candidate </w:t>
      </w:r>
      <w:r w:rsidRPr="002F2676">
        <w:rPr>
          <w:rFonts w:ascii="Times New Roman" w:eastAsia="Times New Roman" w:hAnsi="Times New Roman" w:cs="Times New Roman"/>
          <w:color w:val="000000"/>
          <w:sz w:val="24"/>
          <w:szCs w:val="24"/>
          <w:shd w:val="clear" w:color="auto" w:fill="FFFFFF"/>
        </w:rPr>
        <w:t xml:space="preserve">surrogates as predictors. and compared these using Akaike Information Criterion corrected for small sample sizes (AICc; </w:t>
      </w:r>
      <w:r w:rsidR="009A72EA">
        <w:rPr>
          <w:rFonts w:ascii="Times New Roman" w:eastAsia="Times New Roman" w:hAnsi="Times New Roman" w:cs="Times New Roman"/>
          <w:color w:val="000000"/>
          <w:sz w:val="24"/>
          <w:szCs w:val="24"/>
          <w:shd w:val="clear" w:color="auto" w:fill="FFFFFF"/>
        </w:rPr>
        <w:fldChar w:fldCharType="begin" w:fldLock="1"/>
      </w:r>
      <w:r w:rsidR="005807B6">
        <w:rPr>
          <w:rFonts w:ascii="Times New Roman" w:eastAsia="Times New Roman" w:hAnsi="Times New Roman" w:cs="Times New Roman"/>
          <w:color w:val="000000"/>
          <w:sz w:val="24"/>
          <w:szCs w:val="24"/>
          <w:shd w:val="clear" w:color="auto" w:fill="FFFFFF"/>
        </w:rPr>
        <w:instrText>ADDIN CSL_CITATION {"citationItems":[{"id":"ITEM-1","itemData":{"author":[{"dropping-particle":"","family":"Mazerolle","given":"Marc J.","non-dropping-particle":"","parse-names":false,"suffix":""}],"id":"ITEM-1","issued":{"date-parts":[["2019"]]},"note":"AICcmodavg package","number":"2.2-1","title":"AICcmodavg: Model selection and multimodel inference based on (Q)AIC(c)","type":"article"},"uris":["http://www.mendeley.com/documents/?uuid=58f5b274-cbeb-4115-bb78-0a3be8911edc"]}],"mendeley":{"formattedCitation":"(Mazerolle, 2019)","plainTextFormattedCitation":"(Mazerolle, 2019)","previouslyFormattedCitation":"(Mazerolle, 2019)"},"properties":{"noteIndex":0},"schema":"https://github.com/citation-style-language/schema/raw/master/csl-citation.json"}</w:instrText>
      </w:r>
      <w:r w:rsidR="009A72EA">
        <w:rPr>
          <w:rFonts w:ascii="Times New Roman" w:eastAsia="Times New Roman" w:hAnsi="Times New Roman" w:cs="Times New Roman"/>
          <w:color w:val="000000"/>
          <w:sz w:val="24"/>
          <w:szCs w:val="24"/>
          <w:shd w:val="clear" w:color="auto" w:fill="FFFFFF"/>
        </w:rPr>
        <w:fldChar w:fldCharType="separate"/>
      </w:r>
      <w:r w:rsidR="009A72EA" w:rsidRPr="009A72EA">
        <w:rPr>
          <w:rFonts w:ascii="Times New Roman" w:eastAsia="Times New Roman" w:hAnsi="Times New Roman" w:cs="Times New Roman"/>
          <w:noProof/>
          <w:color w:val="000000"/>
          <w:sz w:val="24"/>
          <w:szCs w:val="24"/>
          <w:shd w:val="clear" w:color="auto" w:fill="FFFFFF"/>
        </w:rPr>
        <w:t>(Mazerolle, 2019)</w:t>
      </w:r>
      <w:r w:rsidR="009A72EA">
        <w:rPr>
          <w:rFonts w:ascii="Times New Roman" w:eastAsia="Times New Roman" w:hAnsi="Times New Roman" w:cs="Times New Roman"/>
          <w:color w:val="000000"/>
          <w:sz w:val="24"/>
          <w:szCs w:val="24"/>
          <w:shd w:val="clear" w:color="auto" w:fill="FFFFFF"/>
        </w:rPr>
        <w:fldChar w:fldCharType="end"/>
      </w:r>
      <w:r w:rsidRPr="002F2676">
        <w:rPr>
          <w:rFonts w:ascii="Times New Roman" w:eastAsia="Times New Roman" w:hAnsi="Times New Roman" w:cs="Times New Roman"/>
          <w:color w:val="000000"/>
          <w:sz w:val="24"/>
          <w:szCs w:val="24"/>
          <w:shd w:val="clear" w:color="auto" w:fill="FFFFFF"/>
        </w:rPr>
        <w:t xml:space="preserve">. The top </w:t>
      </w:r>
      <w:r w:rsidRPr="002F2676">
        <w:rPr>
          <w:rFonts w:ascii="Times New Roman" w:eastAsia="Times New Roman" w:hAnsi="Times New Roman" w:cs="Times New Roman"/>
          <w:color w:val="000000"/>
          <w:sz w:val="24"/>
          <w:szCs w:val="24"/>
        </w:rPr>
        <w:t xml:space="preserve">candidate </w:t>
      </w:r>
      <w:r w:rsidRPr="002F2676">
        <w:rPr>
          <w:rFonts w:ascii="Times New Roman" w:eastAsia="Times New Roman" w:hAnsi="Times New Roman" w:cs="Times New Roman"/>
          <w:color w:val="000000"/>
          <w:sz w:val="24"/>
          <w:szCs w:val="24"/>
          <w:shd w:val="clear" w:color="auto" w:fill="FFFFFF"/>
        </w:rPr>
        <w:t xml:space="preserve">surrogate identified for each target from this comparison was used for the following models. </w:t>
      </w:r>
    </w:p>
    <w:p w:rsidR="002F2676" w:rsidRPr="002F2676" w:rsidRDefault="002F2676" w:rsidP="002F2676">
      <w:pPr>
        <w:spacing w:after="0" w:line="480" w:lineRule="auto"/>
        <w:ind w:firstLine="720"/>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shd w:val="clear" w:color="auto" w:fill="FFFFFF"/>
        </w:rPr>
        <w:lastRenderedPageBreak/>
        <w:t xml:space="preserve">To determine if relationships between targets and the top candidate surrogates remain consistent over space and time, we added additional terms to the models to account for temporal variation and variation across sites. </w:t>
      </w:r>
      <w:r w:rsidRPr="002F2676">
        <w:rPr>
          <w:rFonts w:ascii="Times New Roman" w:eastAsia="Times New Roman" w:hAnsi="Times New Roman" w:cs="Times New Roman"/>
          <w:color w:val="000000"/>
          <w:sz w:val="24"/>
          <w:szCs w:val="24"/>
        </w:rPr>
        <w:t xml:space="preserve">Site is a categorical predictor of the 8 locations around Guana Island and year is a temporal trend across all sites within similar areas over the 27 years. </w:t>
      </w:r>
      <w:r w:rsidRPr="002F2676">
        <w:rPr>
          <w:rFonts w:ascii="Times New Roman" w:eastAsia="Times New Roman" w:hAnsi="Times New Roman" w:cs="Times New Roman"/>
          <w:color w:val="000000"/>
          <w:sz w:val="24"/>
          <w:szCs w:val="24"/>
          <w:shd w:val="clear" w:color="auto" w:fill="FFFFFF"/>
        </w:rPr>
        <w:t xml:space="preserve">We constrained model complexity to single pairwise comparisons because, if more complex models were supported, the relationship between the candidate surrogate and the target would not be valuable for monitoring purposes. In other words, the ecological interpretation of these more complex models would be complicated enough that there would be no clear relationship between the candidate surrogate and the target. If no candidate surrogates are supported we also included models without candidate surrogates to evaluate how much the candidate surrogates were contributing to the models described above. </w:t>
      </w:r>
      <w:r w:rsidRPr="002F2676">
        <w:rPr>
          <w:rFonts w:ascii="Times New Roman" w:eastAsia="Times New Roman" w:hAnsi="Times New Roman" w:cs="Times New Roman"/>
          <w:color w:val="000000"/>
          <w:sz w:val="24"/>
          <w:szCs w:val="24"/>
        </w:rPr>
        <w:t>Models for each of the dependent variables were compared using AICc and pseudo r-squared values. We also conducted a full exploratory analysis for each of the four targets that includes the models described above with the top surrogate as well as models for the other two candidate surrogates</w:t>
      </w:r>
      <w:r w:rsidRPr="002F2676">
        <w:rPr>
          <w:rFonts w:ascii="Times New Roman" w:eastAsia="Times New Roman" w:hAnsi="Times New Roman" w:cs="Times New Roman"/>
          <w:color w:val="000000"/>
          <w:sz w:val="24"/>
          <w:szCs w:val="24"/>
          <w:shd w:val="clear" w:color="auto" w:fill="FFFFFF"/>
        </w:rPr>
        <w:t>.</w:t>
      </w:r>
      <w:r w:rsidRPr="002F2676">
        <w:rPr>
          <w:rFonts w:ascii="Times New Roman" w:eastAsia="Times New Roman" w:hAnsi="Times New Roman" w:cs="Times New Roman"/>
          <w:color w:val="000000"/>
          <w:sz w:val="24"/>
          <w:szCs w:val="24"/>
        </w:rPr>
        <w:t xml:space="preserve"> All data management and analysis was performed in the R programming language </w:t>
      </w:r>
      <w:r w:rsidR="005807B6">
        <w:rPr>
          <w:rFonts w:ascii="Times New Roman" w:eastAsia="Times New Roman" w:hAnsi="Times New Roman" w:cs="Times New Roman"/>
          <w:color w:val="000000"/>
          <w:sz w:val="24"/>
          <w:szCs w:val="24"/>
        </w:rPr>
        <w:fldChar w:fldCharType="begin" w:fldLock="1"/>
      </w:r>
      <w:r w:rsidR="005807B6">
        <w:rPr>
          <w:rFonts w:ascii="Times New Roman" w:eastAsia="Times New Roman" w:hAnsi="Times New Roman" w:cs="Times New Roman"/>
          <w:color w:val="000000"/>
          <w:sz w:val="24"/>
          <w:szCs w:val="24"/>
        </w:rPr>
        <w:instrText>ADDIN CSL_CITATION {"citationItems":[{"id":"ITEM-1","itemData":{"author":[{"dropping-particle":"","family":"R Core Team","given":"","non-dropping-particle":"","parse-names":false,"suffix":""}],"id":"ITEM-1","issued":{"date-parts":[["2019"]]},"number":"3.5.3","publisher":"R Foundation for Statistical Computing","publisher-place":"Vienna, Austria","title":"R: A language and environment for statistical computing","type":"article"},"uris":["http://www.mendeley.com/documents/?uuid=6df3bad8-bea9-4943-951d-a4bf5012696a"]}],"mendeley":{"formattedCitation":"(R Core Team, 2019)","plainTextFormattedCitation":"(R Core Team, 2019)","previouslyFormattedCitation":"(R Core Team, 2019)"},"properties":{"noteIndex":0},"schema":"https://github.com/citation-style-language/schema/raw/master/csl-citation.json"}</w:instrText>
      </w:r>
      <w:r w:rsidR="005807B6">
        <w:rPr>
          <w:rFonts w:ascii="Times New Roman" w:eastAsia="Times New Roman" w:hAnsi="Times New Roman" w:cs="Times New Roman"/>
          <w:color w:val="000000"/>
          <w:sz w:val="24"/>
          <w:szCs w:val="24"/>
        </w:rPr>
        <w:fldChar w:fldCharType="separate"/>
      </w:r>
      <w:r w:rsidR="005807B6" w:rsidRPr="005807B6">
        <w:rPr>
          <w:rFonts w:ascii="Times New Roman" w:eastAsia="Times New Roman" w:hAnsi="Times New Roman" w:cs="Times New Roman"/>
          <w:noProof/>
          <w:color w:val="000000"/>
          <w:sz w:val="24"/>
          <w:szCs w:val="24"/>
        </w:rPr>
        <w:t>(R Core Team, 2019)</w:t>
      </w:r>
      <w:r w:rsidR="005807B6">
        <w:rPr>
          <w:rFonts w:ascii="Times New Roman" w:eastAsia="Times New Roman" w:hAnsi="Times New Roman" w:cs="Times New Roman"/>
          <w:color w:val="000000"/>
          <w:sz w:val="24"/>
          <w:szCs w:val="24"/>
        </w:rPr>
        <w:fldChar w:fldCharType="end"/>
      </w:r>
      <w:r w:rsidRPr="002F2676">
        <w:rPr>
          <w:rFonts w:ascii="Times New Roman" w:eastAsia="Times New Roman" w:hAnsi="Times New Roman" w:cs="Times New Roman"/>
          <w:color w:val="000000"/>
          <w:sz w:val="24"/>
          <w:szCs w:val="24"/>
        </w:rPr>
        <w:t>.</w:t>
      </w:r>
    </w:p>
    <w:p w:rsidR="002F2676" w:rsidRPr="002F2676" w:rsidRDefault="002F2676" w:rsidP="002F2676">
      <w:pPr>
        <w:spacing w:after="0" w:line="480" w:lineRule="auto"/>
        <w:outlineLvl w:val="0"/>
        <w:rPr>
          <w:rFonts w:ascii="Times New Roman" w:eastAsia="Times New Roman" w:hAnsi="Times New Roman" w:cs="Times New Roman"/>
          <w:b/>
          <w:bCs/>
          <w:kern w:val="36"/>
          <w:sz w:val="48"/>
          <w:szCs w:val="48"/>
        </w:rPr>
      </w:pPr>
      <w:r w:rsidRPr="002F2676">
        <w:rPr>
          <w:rFonts w:ascii="Times New Roman" w:eastAsia="Times New Roman" w:hAnsi="Times New Roman" w:cs="Times New Roman"/>
          <w:b/>
          <w:bCs/>
          <w:color w:val="000000"/>
          <w:kern w:val="36"/>
          <w:sz w:val="24"/>
          <w:szCs w:val="24"/>
        </w:rPr>
        <w:t>Results</w:t>
      </w:r>
    </w:p>
    <w:p w:rsidR="002F2676" w:rsidRPr="002F2676" w:rsidRDefault="002F2676" w:rsidP="002F2676">
      <w:pPr>
        <w:spacing w:after="0" w:line="480" w:lineRule="auto"/>
        <w:ind w:firstLine="720"/>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shd w:val="clear" w:color="auto" w:fill="FFFFFF"/>
        </w:rPr>
        <w:t xml:space="preserve">See appendices 1-4 for AIC tables from the full exploratory analysis with all models for all </w:t>
      </w:r>
      <w:r w:rsidRPr="002F2676">
        <w:rPr>
          <w:rFonts w:ascii="Times New Roman" w:eastAsia="Times New Roman" w:hAnsi="Times New Roman" w:cs="Times New Roman"/>
          <w:color w:val="000000"/>
          <w:sz w:val="24"/>
          <w:szCs w:val="24"/>
        </w:rPr>
        <w:t xml:space="preserve">candidate </w:t>
      </w:r>
      <w:r w:rsidRPr="002F2676">
        <w:rPr>
          <w:rFonts w:ascii="Times New Roman" w:eastAsia="Times New Roman" w:hAnsi="Times New Roman" w:cs="Times New Roman"/>
          <w:color w:val="000000"/>
          <w:sz w:val="24"/>
          <w:szCs w:val="24"/>
          <w:shd w:val="clear" w:color="auto" w:fill="FFFFFF"/>
        </w:rPr>
        <w:t>surrogates.</w:t>
      </w:r>
    </w:p>
    <w:p w:rsidR="002F2676" w:rsidRPr="002F2676" w:rsidRDefault="002F2676" w:rsidP="002F2676">
      <w:pPr>
        <w:spacing w:after="0" w:line="480" w:lineRule="auto"/>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rPr>
        <w:t>.</w:t>
      </w:r>
    </w:p>
    <w:p w:rsidR="002F2676" w:rsidRPr="002F2676" w:rsidRDefault="002F2676" w:rsidP="002F2676">
      <w:pPr>
        <w:spacing w:after="0" w:line="480" w:lineRule="auto"/>
        <w:ind w:firstLine="720"/>
        <w:rPr>
          <w:rFonts w:ascii="Times New Roman" w:eastAsia="Times New Roman" w:hAnsi="Times New Roman" w:cs="Times New Roman"/>
          <w:sz w:val="24"/>
          <w:szCs w:val="24"/>
        </w:rPr>
      </w:pPr>
      <w:r w:rsidRPr="002F2676">
        <w:rPr>
          <w:rFonts w:ascii="Times New Roman" w:eastAsia="Times New Roman" w:hAnsi="Times New Roman" w:cs="Times New Roman"/>
          <w:color w:val="000000"/>
          <w:sz w:val="24"/>
          <w:szCs w:val="24"/>
          <w:shd w:val="clear" w:color="auto" w:fill="FFFFFF"/>
        </w:rPr>
        <w:t>None of the candidate surrogates seems to be related to sponge richness (Fig. 3).</w:t>
      </w:r>
    </w:p>
    <w:p w:rsidR="002F2676" w:rsidRPr="002F2676" w:rsidRDefault="002F2676" w:rsidP="002F2676">
      <w:pPr>
        <w:spacing w:after="0" w:line="240" w:lineRule="auto"/>
        <w:rPr>
          <w:rFonts w:ascii="Times New Roman" w:eastAsia="Times New Roman" w:hAnsi="Times New Roman" w:cs="Times New Roman"/>
          <w:sz w:val="24"/>
          <w:szCs w:val="24"/>
        </w:rPr>
      </w:pPr>
    </w:p>
    <w:p w:rsidR="002F2676" w:rsidRPr="002F2676" w:rsidRDefault="002F2676" w:rsidP="002F2676">
      <w:pPr>
        <w:spacing w:after="0" w:line="480" w:lineRule="auto"/>
        <w:outlineLvl w:val="0"/>
        <w:rPr>
          <w:rFonts w:ascii="Times New Roman" w:eastAsia="Times New Roman" w:hAnsi="Times New Roman" w:cs="Times New Roman"/>
          <w:b/>
          <w:bCs/>
          <w:kern w:val="36"/>
          <w:sz w:val="48"/>
          <w:szCs w:val="48"/>
        </w:rPr>
      </w:pPr>
      <w:r w:rsidRPr="002F2676">
        <w:rPr>
          <w:rFonts w:ascii="Times New Roman" w:eastAsia="Times New Roman" w:hAnsi="Times New Roman" w:cs="Times New Roman"/>
          <w:b/>
          <w:bCs/>
          <w:color w:val="000000"/>
          <w:kern w:val="36"/>
          <w:sz w:val="24"/>
          <w:szCs w:val="24"/>
        </w:rPr>
        <w:t>Discussion</w:t>
      </w:r>
    </w:p>
    <w:p w:rsidR="002F2676" w:rsidRDefault="002F2676" w:rsidP="002F2676">
      <w:pPr>
        <w:spacing w:after="0" w:line="480" w:lineRule="auto"/>
        <w:outlineLvl w:val="0"/>
        <w:rPr>
          <w:rFonts w:ascii="Times New Roman" w:eastAsia="Times New Roman" w:hAnsi="Times New Roman" w:cs="Times New Roman"/>
          <w:b/>
          <w:bCs/>
          <w:color w:val="000000"/>
          <w:kern w:val="36"/>
          <w:sz w:val="24"/>
          <w:szCs w:val="24"/>
        </w:rPr>
      </w:pPr>
    </w:p>
    <w:p w:rsidR="002F2676" w:rsidRPr="002F2676" w:rsidRDefault="002F2676" w:rsidP="002F2676">
      <w:pPr>
        <w:spacing w:after="0" w:line="480" w:lineRule="auto"/>
        <w:outlineLvl w:val="0"/>
        <w:rPr>
          <w:rFonts w:ascii="Times New Roman" w:eastAsia="Times New Roman" w:hAnsi="Times New Roman" w:cs="Times New Roman"/>
          <w:b/>
          <w:bCs/>
          <w:kern w:val="36"/>
          <w:sz w:val="48"/>
          <w:szCs w:val="48"/>
        </w:rPr>
      </w:pPr>
      <w:r w:rsidRPr="002F2676">
        <w:rPr>
          <w:rFonts w:ascii="Times New Roman" w:eastAsia="Times New Roman" w:hAnsi="Times New Roman" w:cs="Times New Roman"/>
          <w:b/>
          <w:bCs/>
          <w:color w:val="000000"/>
          <w:kern w:val="36"/>
          <w:sz w:val="24"/>
          <w:szCs w:val="24"/>
        </w:rPr>
        <w:t>Conclusions</w:t>
      </w:r>
    </w:p>
    <w:p w:rsidR="002F2676" w:rsidRPr="002F2676" w:rsidRDefault="002F2676" w:rsidP="002F2676">
      <w:pPr>
        <w:spacing w:after="0" w:line="480" w:lineRule="auto"/>
        <w:outlineLvl w:val="0"/>
        <w:rPr>
          <w:rFonts w:ascii="Times New Roman" w:eastAsia="Times New Roman" w:hAnsi="Times New Roman" w:cs="Times New Roman"/>
          <w:b/>
          <w:bCs/>
          <w:kern w:val="36"/>
          <w:sz w:val="48"/>
          <w:szCs w:val="48"/>
        </w:rPr>
      </w:pPr>
      <w:r w:rsidRPr="002F2676">
        <w:rPr>
          <w:rFonts w:ascii="Times New Roman" w:eastAsia="Times New Roman" w:hAnsi="Times New Roman" w:cs="Times New Roman"/>
          <w:b/>
          <w:bCs/>
          <w:color w:val="000000"/>
          <w:kern w:val="36"/>
          <w:sz w:val="24"/>
          <w:szCs w:val="24"/>
        </w:rPr>
        <w:lastRenderedPageBreak/>
        <w:t>Literature Cited</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 xml:space="preserve">ADDIN Mendeley Bibliography CSL_BIBLIOGRAPHY </w:instrText>
      </w:r>
      <w:r>
        <w:rPr>
          <w:rFonts w:ascii="Times New Roman" w:eastAsia="Times New Roman" w:hAnsi="Times New Roman" w:cs="Times New Roman"/>
          <w:sz w:val="24"/>
          <w:szCs w:val="24"/>
        </w:rPr>
        <w:fldChar w:fldCharType="separate"/>
      </w:r>
      <w:r w:rsidRPr="005807B6">
        <w:rPr>
          <w:rFonts w:ascii="Times New Roman" w:hAnsi="Times New Roman" w:cs="Times New Roman"/>
          <w:noProof/>
          <w:sz w:val="24"/>
          <w:szCs w:val="24"/>
        </w:rPr>
        <w:t xml:space="preserve">Almada-Villela, P. C., Sale, P. F., Gold-Bouchot, G., &amp; Kjerfve, B. (2003). </w:t>
      </w:r>
      <w:r w:rsidRPr="005807B6">
        <w:rPr>
          <w:rFonts w:ascii="Times New Roman" w:hAnsi="Times New Roman" w:cs="Times New Roman"/>
          <w:i/>
          <w:iCs/>
          <w:noProof/>
          <w:sz w:val="24"/>
          <w:szCs w:val="24"/>
        </w:rPr>
        <w:t>Manual of methods for the MBRS synoptic monitoring program: Selected methods for monitoring physical and biological parameters for use in the Mesoamerican region</w:t>
      </w:r>
      <w:r w:rsidRPr="005807B6">
        <w:rPr>
          <w:rFonts w:ascii="Times New Roman" w:hAnsi="Times New Roman" w:cs="Times New Roman"/>
          <w:noProof/>
          <w:sz w:val="24"/>
          <w:szCs w:val="24"/>
        </w:rPr>
        <w:t>. Belize City: Mesoamerican Barrier Reef Systems project (MBRS).</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Angelini, C., Altieri, A. H., Silliman, B. R., &amp; Bertness, M. D. (2018). Interactions among Foundation Species and Their Consequences ­ for Community Organization , Biodiversity , and Conservation, </w:t>
      </w:r>
      <w:r w:rsidRPr="005807B6">
        <w:rPr>
          <w:rFonts w:ascii="Times New Roman" w:hAnsi="Times New Roman" w:cs="Times New Roman"/>
          <w:i/>
          <w:iCs/>
          <w:noProof/>
          <w:sz w:val="24"/>
          <w:szCs w:val="24"/>
        </w:rPr>
        <w:t>61</w:t>
      </w:r>
      <w:r w:rsidRPr="005807B6">
        <w:rPr>
          <w:rFonts w:ascii="Times New Roman" w:hAnsi="Times New Roman" w:cs="Times New Roman"/>
          <w:noProof/>
          <w:sz w:val="24"/>
          <w:szCs w:val="24"/>
        </w:rPr>
        <w:t>(10). https://doi.org/10.1525/bio.2011.61.10.8</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Bevilacqua, S., Mistri, M., Terlizzi, A., &amp; Munari, C. (2018). Assessing the effectiveness of surrogates for species over time: Evidence from decadal monitoring of a Mediterranean transitional water ecosystem. </w:t>
      </w:r>
      <w:r w:rsidRPr="005807B6">
        <w:rPr>
          <w:rFonts w:ascii="Times New Roman" w:hAnsi="Times New Roman" w:cs="Times New Roman"/>
          <w:i/>
          <w:iCs/>
          <w:noProof/>
          <w:sz w:val="24"/>
          <w:szCs w:val="24"/>
        </w:rPr>
        <w:t>Marine Pollution Bulletin</w:t>
      </w:r>
      <w:r w:rsidRPr="005807B6">
        <w:rPr>
          <w:rFonts w:ascii="Times New Roman" w:hAnsi="Times New Roman" w:cs="Times New Roman"/>
          <w:noProof/>
          <w:sz w:val="24"/>
          <w:szCs w:val="24"/>
        </w:rPr>
        <w:t>. https://doi.org/10.1016/j.marpolbul.2018.04.047</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Derraik, J. G. B., Closs, G. P., Dickinson, K. J. M., Sirvid, P., Barratt, B. I. P., &amp; Patrick, B. H. (2002). Arthropod morphospecies versus taxonomic species: A case study with Araneae, Coleoptera, and Lepidoptera. </w:t>
      </w:r>
      <w:r w:rsidRPr="005807B6">
        <w:rPr>
          <w:rFonts w:ascii="Times New Roman" w:hAnsi="Times New Roman" w:cs="Times New Roman"/>
          <w:i/>
          <w:iCs/>
          <w:noProof/>
          <w:sz w:val="24"/>
          <w:szCs w:val="24"/>
        </w:rPr>
        <w:t>Conservation Biology</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16</w:t>
      </w:r>
      <w:r w:rsidRPr="005807B6">
        <w:rPr>
          <w:rFonts w:ascii="Times New Roman" w:hAnsi="Times New Roman" w:cs="Times New Roman"/>
          <w:noProof/>
          <w:sz w:val="24"/>
          <w:szCs w:val="24"/>
        </w:rPr>
        <w:t>(4), 1015–1023. Retrieved from http://onlinelibrary.wiley.com/doi/10.1046/j.1523-1739.2002.00358.x/full</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Duelli, P., &amp; Obrist, M. K. (2003). Biodiversity indicators: The choice of values and measures. </w:t>
      </w:r>
      <w:r w:rsidRPr="005807B6">
        <w:rPr>
          <w:rFonts w:ascii="Times New Roman" w:hAnsi="Times New Roman" w:cs="Times New Roman"/>
          <w:i/>
          <w:iCs/>
          <w:noProof/>
          <w:sz w:val="24"/>
          <w:szCs w:val="24"/>
        </w:rPr>
        <w:t>Agriculture, Ecosystems and Environment</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98</w:t>
      </w:r>
      <w:r w:rsidRPr="005807B6">
        <w:rPr>
          <w:rFonts w:ascii="Times New Roman" w:hAnsi="Times New Roman" w:cs="Times New Roman"/>
          <w:noProof/>
          <w:sz w:val="24"/>
          <w:szCs w:val="24"/>
        </w:rPr>
        <w:t>, 87–98. https://doi.org/10.1016/S0167-8809(03)00072-0</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Emmett Duffy, J. (2009). Why biodiversity is important to the functioning of real-world ecosystems. </w:t>
      </w:r>
      <w:r w:rsidRPr="005807B6">
        <w:rPr>
          <w:rFonts w:ascii="Times New Roman" w:hAnsi="Times New Roman" w:cs="Times New Roman"/>
          <w:i/>
          <w:iCs/>
          <w:noProof/>
          <w:sz w:val="24"/>
          <w:szCs w:val="24"/>
        </w:rPr>
        <w:t>Frontiers in Ecology and the Environment</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7</w:t>
      </w:r>
      <w:r w:rsidRPr="005807B6">
        <w:rPr>
          <w:rFonts w:ascii="Times New Roman" w:hAnsi="Times New Roman" w:cs="Times New Roman"/>
          <w:noProof/>
          <w:sz w:val="24"/>
          <w:szCs w:val="24"/>
        </w:rPr>
        <w:t>(8), 437–444. https://doi.org/10.1890/070195</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Emslie, M. J., Cheal, A. J., MacNeil, M. A., Miller, I. R., &amp; Sweatman, H. P. A. (2018). Reef </w:t>
      </w:r>
      <w:r w:rsidRPr="005807B6">
        <w:rPr>
          <w:rFonts w:ascii="Times New Roman" w:hAnsi="Times New Roman" w:cs="Times New Roman"/>
          <w:noProof/>
          <w:sz w:val="24"/>
          <w:szCs w:val="24"/>
        </w:rPr>
        <w:lastRenderedPageBreak/>
        <w:t xml:space="preserve">fish communities are spooked by scuba surveys and may take hours to recover. </w:t>
      </w:r>
      <w:r w:rsidRPr="005807B6">
        <w:rPr>
          <w:rFonts w:ascii="Times New Roman" w:hAnsi="Times New Roman" w:cs="Times New Roman"/>
          <w:i/>
          <w:iCs/>
          <w:noProof/>
          <w:sz w:val="24"/>
          <w:szCs w:val="24"/>
        </w:rPr>
        <w:t>PeerJ</w:t>
      </w:r>
      <w:r w:rsidRPr="005807B6">
        <w:rPr>
          <w:rFonts w:ascii="Times New Roman" w:hAnsi="Times New Roman" w:cs="Times New Roman"/>
          <w:noProof/>
          <w:sz w:val="24"/>
          <w:szCs w:val="24"/>
        </w:rPr>
        <w:t>. https://doi.org/10.7717/peerj.4886</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Fontaine, A., Devillers, R., Peres-Neto, P. R., &amp; Johnson, L. E. (2015). Delineating marine ecological units: A novel approach for deciding which taxonomic group to use and which taxonomic resolution to choose. </w:t>
      </w:r>
      <w:r w:rsidRPr="005807B6">
        <w:rPr>
          <w:rFonts w:ascii="Times New Roman" w:hAnsi="Times New Roman" w:cs="Times New Roman"/>
          <w:i/>
          <w:iCs/>
          <w:noProof/>
          <w:sz w:val="24"/>
          <w:szCs w:val="24"/>
        </w:rPr>
        <w:t>Diversity and Distributions</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21</w:t>
      </w:r>
      <w:r w:rsidRPr="005807B6">
        <w:rPr>
          <w:rFonts w:ascii="Times New Roman" w:hAnsi="Times New Roman" w:cs="Times New Roman"/>
          <w:noProof/>
          <w:sz w:val="24"/>
          <w:szCs w:val="24"/>
        </w:rPr>
        <w:t>, 1167–1180. https://doi.org/10.1111/ddi.12361</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Forrester, G., Baily, P., Conetta, D., Forrester, L., Kintzing, E., &amp; Jarecki, L. (2015). Comparing monitoring data collected by volunteers and professionals shows that citizen scientists can detect long-term change on coral reefs. </w:t>
      </w:r>
      <w:r w:rsidRPr="005807B6">
        <w:rPr>
          <w:rFonts w:ascii="Times New Roman" w:hAnsi="Times New Roman" w:cs="Times New Roman"/>
          <w:i/>
          <w:iCs/>
          <w:noProof/>
          <w:sz w:val="24"/>
          <w:szCs w:val="24"/>
        </w:rPr>
        <w:t>Journal for Nature Conservation</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24</w:t>
      </w:r>
      <w:r w:rsidRPr="005807B6">
        <w:rPr>
          <w:rFonts w:ascii="Times New Roman" w:hAnsi="Times New Roman" w:cs="Times New Roman"/>
          <w:noProof/>
          <w:sz w:val="24"/>
          <w:szCs w:val="24"/>
        </w:rPr>
        <w:t>, 1–9. https://doi.org/10.1016/j.jnc.2015.01.002</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Habibi, A., Setiasih, N., &amp; Sartin, J. (2007). A decade of reef check monitoring: Indonesian coral reefs, condition and trends. </w:t>
      </w:r>
      <w:r w:rsidRPr="005807B6">
        <w:rPr>
          <w:rFonts w:ascii="Times New Roman" w:hAnsi="Times New Roman" w:cs="Times New Roman"/>
          <w:i/>
          <w:iCs/>
          <w:noProof/>
          <w:sz w:val="24"/>
          <w:szCs w:val="24"/>
        </w:rPr>
        <w:t>The Indonesian Reef Check Network</w:t>
      </w:r>
      <w:r w:rsidRPr="005807B6">
        <w:rPr>
          <w:rFonts w:ascii="Times New Roman" w:hAnsi="Times New Roman" w:cs="Times New Roman"/>
          <w:noProof/>
          <w:sz w:val="24"/>
          <w:szCs w:val="24"/>
        </w:rPr>
        <w:t>.</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Hamilton, A. J. (2005). Species diversity or biodiversity? </w:t>
      </w:r>
      <w:r w:rsidRPr="005807B6">
        <w:rPr>
          <w:rFonts w:ascii="Times New Roman" w:hAnsi="Times New Roman" w:cs="Times New Roman"/>
          <w:i/>
          <w:iCs/>
          <w:noProof/>
          <w:sz w:val="24"/>
          <w:szCs w:val="24"/>
        </w:rPr>
        <w:t>Journal of Environmental Management</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75</w:t>
      </w:r>
      <w:r w:rsidRPr="005807B6">
        <w:rPr>
          <w:rFonts w:ascii="Times New Roman" w:hAnsi="Times New Roman" w:cs="Times New Roman"/>
          <w:noProof/>
          <w:sz w:val="24"/>
          <w:szCs w:val="24"/>
        </w:rPr>
        <w:t>, 89–92. https://doi.org/10.1016/j.jenvman.2004.11.012</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Hirst, A. J. (2008). Surrogate measures for assessing cryptic faunal biodiversity on macroalgal-dominated subtidal reefs. </w:t>
      </w:r>
      <w:r w:rsidRPr="005807B6">
        <w:rPr>
          <w:rFonts w:ascii="Times New Roman" w:hAnsi="Times New Roman" w:cs="Times New Roman"/>
          <w:i/>
          <w:iCs/>
          <w:noProof/>
          <w:sz w:val="24"/>
          <w:szCs w:val="24"/>
        </w:rPr>
        <w:t>Biological Conservation</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141</w:t>
      </w:r>
      <w:r w:rsidRPr="005807B6">
        <w:rPr>
          <w:rFonts w:ascii="Times New Roman" w:hAnsi="Times New Roman" w:cs="Times New Roman"/>
          <w:noProof/>
          <w:sz w:val="24"/>
          <w:szCs w:val="24"/>
        </w:rPr>
        <w:t>, 211–220.</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Hughes, Terence P. (1994). Catastrophes, phase shifts, and large-scale degradation of a Caribbean coral reef. </w:t>
      </w:r>
      <w:r w:rsidRPr="005807B6">
        <w:rPr>
          <w:rFonts w:ascii="Times New Roman" w:hAnsi="Times New Roman" w:cs="Times New Roman"/>
          <w:i/>
          <w:iCs/>
          <w:noProof/>
          <w:sz w:val="24"/>
          <w:szCs w:val="24"/>
        </w:rPr>
        <w:t>Science</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265</w:t>
      </w:r>
      <w:r w:rsidRPr="005807B6">
        <w:rPr>
          <w:rFonts w:ascii="Times New Roman" w:hAnsi="Times New Roman" w:cs="Times New Roman"/>
          <w:noProof/>
          <w:sz w:val="24"/>
          <w:szCs w:val="24"/>
        </w:rPr>
        <w:t>(5178), 1547–1551.</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Hughes, Terry P., Kerry, J. T., Álvarez-Noriega, M., Álvarez-Romero, J. G., Anderson, K. D., Baird, A. H., … Wilson, S. K. (2017). Global warming and recurrent mass bleaching of corals. </w:t>
      </w:r>
      <w:r w:rsidRPr="005807B6">
        <w:rPr>
          <w:rFonts w:ascii="Times New Roman" w:hAnsi="Times New Roman" w:cs="Times New Roman"/>
          <w:i/>
          <w:iCs/>
          <w:noProof/>
          <w:sz w:val="24"/>
          <w:szCs w:val="24"/>
        </w:rPr>
        <w:t>Nature</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543</w:t>
      </w:r>
      <w:r w:rsidRPr="005807B6">
        <w:rPr>
          <w:rFonts w:ascii="Times New Roman" w:hAnsi="Times New Roman" w:cs="Times New Roman"/>
          <w:noProof/>
          <w:sz w:val="24"/>
          <w:szCs w:val="24"/>
        </w:rPr>
        <w:t>, 373–377. https://doi.org/10.1038/nature21707</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Kati, V., Devillers, P., Dufrêne, M., Legakis, A., Vokou, D., &amp; Lebrun, P. (2004). </w:t>
      </w:r>
      <w:r w:rsidRPr="005807B6">
        <w:rPr>
          <w:rFonts w:ascii="Times New Roman" w:hAnsi="Times New Roman" w:cs="Times New Roman"/>
          <w:i/>
          <w:iCs/>
          <w:noProof/>
          <w:sz w:val="24"/>
          <w:szCs w:val="24"/>
        </w:rPr>
        <w:t>Testing the value of six taxonomic groups as biodiversity indicators at a local scale</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 xml:space="preserve">Conservation </w:t>
      </w:r>
      <w:r w:rsidRPr="005807B6">
        <w:rPr>
          <w:rFonts w:ascii="Times New Roman" w:hAnsi="Times New Roman" w:cs="Times New Roman"/>
          <w:i/>
          <w:iCs/>
          <w:noProof/>
          <w:sz w:val="24"/>
          <w:szCs w:val="24"/>
        </w:rPr>
        <w:lastRenderedPageBreak/>
        <w:t>Biology</w:t>
      </w:r>
      <w:r w:rsidRPr="005807B6">
        <w:rPr>
          <w:rFonts w:ascii="Times New Roman" w:hAnsi="Times New Roman" w:cs="Times New Roman"/>
          <w:noProof/>
          <w:sz w:val="24"/>
          <w:szCs w:val="24"/>
        </w:rPr>
        <w:t xml:space="preserve"> (Vol. 18).</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Magierowski, R. H., &amp; Johnson, C. R. (2006). Robustness of surrogates of biodiversity in marine benthic communities. </w:t>
      </w:r>
      <w:r w:rsidRPr="005807B6">
        <w:rPr>
          <w:rFonts w:ascii="Times New Roman" w:hAnsi="Times New Roman" w:cs="Times New Roman"/>
          <w:i/>
          <w:iCs/>
          <w:noProof/>
          <w:sz w:val="24"/>
          <w:szCs w:val="24"/>
        </w:rPr>
        <w:t>Ecological Applications</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16</w:t>
      </w:r>
      <w:r w:rsidRPr="005807B6">
        <w:rPr>
          <w:rFonts w:ascii="Times New Roman" w:hAnsi="Times New Roman" w:cs="Times New Roman"/>
          <w:noProof/>
          <w:sz w:val="24"/>
          <w:szCs w:val="24"/>
        </w:rPr>
        <w:t>(6), 2264–2275.</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Margules, C. R., Pressey, R. L., &amp; Williams, P. H. (2002). Representing biodiversity: Data and procedures for identifying priority areas for conservation. </w:t>
      </w:r>
      <w:r w:rsidRPr="005807B6">
        <w:rPr>
          <w:rFonts w:ascii="Times New Roman" w:hAnsi="Times New Roman" w:cs="Times New Roman"/>
          <w:i/>
          <w:iCs/>
          <w:noProof/>
          <w:sz w:val="24"/>
          <w:szCs w:val="24"/>
        </w:rPr>
        <w:t>Journal of Biosciences</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27</w:t>
      </w:r>
      <w:r w:rsidRPr="005807B6">
        <w:rPr>
          <w:rFonts w:ascii="Times New Roman" w:hAnsi="Times New Roman" w:cs="Times New Roman"/>
          <w:noProof/>
          <w:sz w:val="24"/>
          <w:szCs w:val="24"/>
        </w:rPr>
        <w:t>(4), 309–326.</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Mazerolle, M. J. (2019). AICcmodavg: Model selection and multimodel inference based on (Q)AIC(c). Retrieved from https://cran.r-project.org/package=AICcmodavg</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McCormick, M. I. (1994). Comparison of field methods for measuring surface topography and their associations with a tropical reef fish assemblage. </w:t>
      </w:r>
      <w:r w:rsidRPr="005807B6">
        <w:rPr>
          <w:rFonts w:ascii="Times New Roman" w:hAnsi="Times New Roman" w:cs="Times New Roman"/>
          <w:i/>
          <w:iCs/>
          <w:noProof/>
          <w:sz w:val="24"/>
          <w:szCs w:val="24"/>
        </w:rPr>
        <w:t>Marine Ecology Progress Series</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112</w:t>
      </w:r>
      <w:r w:rsidRPr="005807B6">
        <w:rPr>
          <w:rFonts w:ascii="Times New Roman" w:hAnsi="Times New Roman" w:cs="Times New Roman"/>
          <w:noProof/>
          <w:sz w:val="24"/>
          <w:szCs w:val="24"/>
        </w:rPr>
        <w:t>, 87–96. https://doi.org/10.3354/meps112087</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Musco, L., Mikac, B., Tataranni, M., Giangrande, A., &amp; Terlizzi, A. (2011). The use of coarser taxonomy in the detection of long-term changes in polychaete assemblages. </w:t>
      </w:r>
      <w:r w:rsidRPr="005807B6">
        <w:rPr>
          <w:rFonts w:ascii="Times New Roman" w:hAnsi="Times New Roman" w:cs="Times New Roman"/>
          <w:i/>
          <w:iCs/>
          <w:noProof/>
          <w:sz w:val="24"/>
          <w:szCs w:val="24"/>
        </w:rPr>
        <w:t>Marine Environmental Research</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71</w:t>
      </w:r>
      <w:r w:rsidRPr="005807B6">
        <w:rPr>
          <w:rFonts w:ascii="Times New Roman" w:hAnsi="Times New Roman" w:cs="Times New Roman"/>
          <w:noProof/>
          <w:sz w:val="24"/>
          <w:szCs w:val="24"/>
        </w:rPr>
        <w:t>, 131–138. https://doi.org/10.1016/j.marenvres.2010.12.004</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Noss, R. F. (1990). Indicators for monitoring biodiversity: A hierarchical approach. </w:t>
      </w:r>
      <w:r w:rsidRPr="005807B6">
        <w:rPr>
          <w:rFonts w:ascii="Times New Roman" w:hAnsi="Times New Roman" w:cs="Times New Roman"/>
          <w:i/>
          <w:iCs/>
          <w:noProof/>
          <w:sz w:val="24"/>
          <w:szCs w:val="24"/>
        </w:rPr>
        <w:t>Conservation Biology</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4</w:t>
      </w:r>
      <w:r w:rsidRPr="005807B6">
        <w:rPr>
          <w:rFonts w:ascii="Times New Roman" w:hAnsi="Times New Roman" w:cs="Times New Roman"/>
          <w:noProof/>
          <w:sz w:val="24"/>
          <w:szCs w:val="24"/>
        </w:rPr>
        <w:t>(4), 355–364.</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Olsgard, F., &amp; Somerfield, P. J. (2000). Surrogates in marine benthic investigations - which taxonomic unit to target? </w:t>
      </w:r>
      <w:r w:rsidRPr="005807B6">
        <w:rPr>
          <w:rFonts w:ascii="Times New Roman" w:hAnsi="Times New Roman" w:cs="Times New Roman"/>
          <w:i/>
          <w:iCs/>
          <w:noProof/>
          <w:sz w:val="24"/>
          <w:szCs w:val="24"/>
        </w:rPr>
        <w:t>Journal of Aquatic Ecosystem Stress and Recovery</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7</w:t>
      </w:r>
      <w:r w:rsidRPr="005807B6">
        <w:rPr>
          <w:rFonts w:ascii="Times New Roman" w:hAnsi="Times New Roman" w:cs="Times New Roman"/>
          <w:noProof/>
          <w:sz w:val="24"/>
          <w:szCs w:val="24"/>
        </w:rPr>
        <w:t>, 25–42.</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Padoa-Schioppa, E., Baietto, M., Massa, R., &amp; Bottoni, L. (2006). Bird communities as bioindicators: The focal species concept in agricultural landscapes. </w:t>
      </w:r>
      <w:r w:rsidRPr="005807B6">
        <w:rPr>
          <w:rFonts w:ascii="Times New Roman" w:hAnsi="Times New Roman" w:cs="Times New Roman"/>
          <w:i/>
          <w:iCs/>
          <w:noProof/>
          <w:sz w:val="24"/>
          <w:szCs w:val="24"/>
        </w:rPr>
        <w:t>Ecological Indicators</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6</w:t>
      </w:r>
      <w:r w:rsidRPr="005807B6">
        <w:rPr>
          <w:rFonts w:ascii="Times New Roman" w:hAnsi="Times New Roman" w:cs="Times New Roman"/>
          <w:noProof/>
          <w:sz w:val="24"/>
          <w:szCs w:val="24"/>
        </w:rPr>
        <w:t>, 83–93. https://doi.org/10.1016/j.ecolind.2005.08.006</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Paillet, Y., Archaux, F., du Puy, S., Bouget, C., Boulanger, V., Debaive, N., … Guilbert, E. (2018). The indicator side of tree microhabitats: A multi-taxon approach based on bats, </w:t>
      </w:r>
      <w:r w:rsidRPr="005807B6">
        <w:rPr>
          <w:rFonts w:ascii="Times New Roman" w:hAnsi="Times New Roman" w:cs="Times New Roman"/>
          <w:noProof/>
          <w:sz w:val="24"/>
          <w:szCs w:val="24"/>
        </w:rPr>
        <w:lastRenderedPageBreak/>
        <w:t xml:space="preserve">birds and saproxylic beetles. </w:t>
      </w:r>
      <w:r w:rsidRPr="005807B6">
        <w:rPr>
          <w:rFonts w:ascii="Times New Roman" w:hAnsi="Times New Roman" w:cs="Times New Roman"/>
          <w:i/>
          <w:iCs/>
          <w:noProof/>
          <w:sz w:val="24"/>
          <w:szCs w:val="24"/>
        </w:rPr>
        <w:t>Journal of Applied Ecology</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55</w:t>
      </w:r>
      <w:r w:rsidRPr="005807B6">
        <w:rPr>
          <w:rFonts w:ascii="Times New Roman" w:hAnsi="Times New Roman" w:cs="Times New Roman"/>
          <w:noProof/>
          <w:sz w:val="24"/>
          <w:szCs w:val="24"/>
        </w:rPr>
        <w:t>, 2147–2159. https://doi.org/10.1111/1365-2664.13181</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Pierson, J. C., Mortelliti, A., Barton, P. S., Lane, P. W., &amp; Lindenmayer, D. B. (2016). Evaluating the effectiveness of overstory cover as a surrogate for bird community diversity and population trends. </w:t>
      </w:r>
      <w:r w:rsidRPr="005807B6">
        <w:rPr>
          <w:rFonts w:ascii="Times New Roman" w:hAnsi="Times New Roman" w:cs="Times New Roman"/>
          <w:i/>
          <w:iCs/>
          <w:noProof/>
          <w:sz w:val="24"/>
          <w:szCs w:val="24"/>
        </w:rPr>
        <w:t>Ecological Indicators</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61</w:t>
      </w:r>
      <w:r w:rsidRPr="005807B6">
        <w:rPr>
          <w:rFonts w:ascii="Times New Roman" w:hAnsi="Times New Roman" w:cs="Times New Roman"/>
          <w:noProof/>
          <w:sz w:val="24"/>
          <w:szCs w:val="24"/>
        </w:rPr>
        <w:t>, 790–798. https://doi.org/10.1016/j.ecolind.2015.10.031</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R Core Team. (2019). R: A language and environment for statistical computing. Vienna, Austria: R Foundation for Statistical Computing. Retrieved from https://www.r-project.org/</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Rubal, M., Veiga, P., Vieira, R., &amp; Sousa-Pinto, I. (2011). Seasonal patterns of tidepool macroalgal assemblages in the North of Portugal. Consistence between species and functional group approaches. </w:t>
      </w:r>
      <w:r w:rsidRPr="005807B6">
        <w:rPr>
          <w:rFonts w:ascii="Times New Roman" w:hAnsi="Times New Roman" w:cs="Times New Roman"/>
          <w:i/>
          <w:iCs/>
          <w:noProof/>
          <w:sz w:val="24"/>
          <w:szCs w:val="24"/>
        </w:rPr>
        <w:t>Journal of Sea Research</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66</w:t>
      </w:r>
      <w:r w:rsidRPr="005807B6">
        <w:rPr>
          <w:rFonts w:ascii="Times New Roman" w:hAnsi="Times New Roman" w:cs="Times New Roman"/>
          <w:noProof/>
          <w:sz w:val="24"/>
          <w:szCs w:val="24"/>
        </w:rPr>
        <w:t>, 187–194. https://doi.org/10.1016/j.seares.2011.07.003</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Sebek, P., Barnouin, T., Brin, A., Brustel, H., Dufrêne, M., Gosselin, F., … Bouget, C. (2012). A test for assessment of saproxylic beetle biodiversity using subsets of “monitoring species.” </w:t>
      </w:r>
      <w:r w:rsidRPr="005807B6">
        <w:rPr>
          <w:rFonts w:ascii="Times New Roman" w:hAnsi="Times New Roman" w:cs="Times New Roman"/>
          <w:i/>
          <w:iCs/>
          <w:noProof/>
          <w:sz w:val="24"/>
          <w:szCs w:val="24"/>
        </w:rPr>
        <w:t>Ecological Indicators</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20</w:t>
      </w:r>
      <w:r w:rsidRPr="005807B6">
        <w:rPr>
          <w:rFonts w:ascii="Times New Roman" w:hAnsi="Times New Roman" w:cs="Times New Roman"/>
          <w:noProof/>
          <w:sz w:val="24"/>
          <w:szCs w:val="24"/>
        </w:rPr>
        <w:t>, 304–315. https://doi.org/10.1016/j.ecolind.2012.02.033</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Staudinger, M. D., Carter, S. L., Cross, M. S., Dubois, N. S., Emmett Duffy, J., Enquist, C., … Turner, W. (2013). Biodiversity in a changing climate : A synthesis of current and projected trends in the US. </w:t>
      </w:r>
      <w:r w:rsidRPr="005807B6">
        <w:rPr>
          <w:rFonts w:ascii="Times New Roman" w:hAnsi="Times New Roman" w:cs="Times New Roman"/>
          <w:i/>
          <w:iCs/>
          <w:noProof/>
          <w:sz w:val="24"/>
          <w:szCs w:val="24"/>
        </w:rPr>
        <w:t>Frontiers in Ecology and the Environment</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11</w:t>
      </w:r>
      <w:r w:rsidRPr="005807B6">
        <w:rPr>
          <w:rFonts w:ascii="Times New Roman" w:hAnsi="Times New Roman" w:cs="Times New Roman"/>
          <w:noProof/>
          <w:sz w:val="24"/>
          <w:szCs w:val="24"/>
        </w:rPr>
        <w:t>(9), 465–473. https://doi.org/10.1890/120272</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Stokes, M. D., Leichter, J. J., &amp; Genovese, S. J. (2010). Long-term declines in coral cover at Bonaire, Netherlands Antilles. </w:t>
      </w:r>
      <w:r w:rsidRPr="005807B6">
        <w:rPr>
          <w:rFonts w:ascii="Times New Roman" w:hAnsi="Times New Roman" w:cs="Times New Roman"/>
          <w:i/>
          <w:iCs/>
          <w:noProof/>
          <w:sz w:val="24"/>
          <w:szCs w:val="24"/>
        </w:rPr>
        <w:t>Atoll Research Bulletin</w:t>
      </w:r>
      <w:r w:rsidRPr="005807B6">
        <w:rPr>
          <w:rFonts w:ascii="Times New Roman" w:hAnsi="Times New Roman" w:cs="Times New Roman"/>
          <w:noProof/>
          <w:sz w:val="24"/>
          <w:szCs w:val="24"/>
        </w:rPr>
        <w:t>.</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Stork, N. E. (2010). Re-assessing current extinction rates. </w:t>
      </w:r>
      <w:r w:rsidRPr="005807B6">
        <w:rPr>
          <w:rFonts w:ascii="Times New Roman" w:hAnsi="Times New Roman" w:cs="Times New Roman"/>
          <w:i/>
          <w:iCs/>
          <w:noProof/>
          <w:sz w:val="24"/>
          <w:szCs w:val="24"/>
        </w:rPr>
        <w:t>Biodiversity and Conservation</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19</w:t>
      </w:r>
      <w:r w:rsidRPr="005807B6">
        <w:rPr>
          <w:rFonts w:ascii="Times New Roman" w:hAnsi="Times New Roman" w:cs="Times New Roman"/>
          <w:noProof/>
          <w:sz w:val="24"/>
          <w:szCs w:val="24"/>
        </w:rPr>
        <w:t>, 357–371. https://doi.org/10.1007/s10531-009-9761-9</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lastRenderedPageBreak/>
        <w:t xml:space="preserve">Venables, W. N., &amp; Ripley, B. D. (2002). </w:t>
      </w:r>
      <w:r w:rsidRPr="005807B6">
        <w:rPr>
          <w:rFonts w:ascii="Times New Roman" w:hAnsi="Times New Roman" w:cs="Times New Roman"/>
          <w:i/>
          <w:iCs/>
          <w:noProof/>
          <w:sz w:val="24"/>
          <w:szCs w:val="24"/>
        </w:rPr>
        <w:t>Modern applied statistics with S</w:t>
      </w:r>
      <w:r w:rsidRPr="005807B6">
        <w:rPr>
          <w:rFonts w:ascii="Times New Roman" w:hAnsi="Times New Roman" w:cs="Times New Roman"/>
          <w:noProof/>
          <w:sz w:val="24"/>
          <w:szCs w:val="24"/>
        </w:rPr>
        <w:t xml:space="preserve"> (Fourth). New York, New York: Springer. Retrieved from http://www.stats.ox.ac.uk/pub/MASS4</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Ward, T. J., Vanderklift, M. A., Nicholls, A. O., &amp; Kenchington, R. A. (1999). Selecting marine reserves using habitats and species assemblages as surrogates for biological diversity. </w:t>
      </w:r>
      <w:r w:rsidRPr="005807B6">
        <w:rPr>
          <w:rFonts w:ascii="Times New Roman" w:hAnsi="Times New Roman" w:cs="Times New Roman"/>
          <w:i/>
          <w:iCs/>
          <w:noProof/>
          <w:sz w:val="24"/>
          <w:szCs w:val="24"/>
        </w:rPr>
        <w:t>Ecological Applications</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9</w:t>
      </w:r>
      <w:r w:rsidRPr="005807B6">
        <w:rPr>
          <w:rFonts w:ascii="Times New Roman" w:hAnsi="Times New Roman" w:cs="Times New Roman"/>
          <w:noProof/>
          <w:sz w:val="24"/>
          <w:szCs w:val="24"/>
        </w:rPr>
        <w:t>(2), 691–698.</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807B6">
        <w:rPr>
          <w:rFonts w:ascii="Times New Roman" w:hAnsi="Times New Roman" w:cs="Times New Roman"/>
          <w:noProof/>
          <w:sz w:val="24"/>
          <w:szCs w:val="24"/>
        </w:rPr>
        <w:t xml:space="preserve">Wessels, K. J., Freitag, S., &amp; van Jaarsveld, A. S. (1999). The use of land facets as biodiversity surrogates during reserve selection at a local scale. </w:t>
      </w:r>
      <w:r w:rsidRPr="005807B6">
        <w:rPr>
          <w:rFonts w:ascii="Times New Roman" w:hAnsi="Times New Roman" w:cs="Times New Roman"/>
          <w:i/>
          <w:iCs/>
          <w:noProof/>
          <w:sz w:val="24"/>
          <w:szCs w:val="24"/>
        </w:rPr>
        <w:t>Biological Conservation</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89</w:t>
      </w:r>
      <w:r w:rsidRPr="005807B6">
        <w:rPr>
          <w:rFonts w:ascii="Times New Roman" w:hAnsi="Times New Roman" w:cs="Times New Roman"/>
          <w:noProof/>
          <w:sz w:val="24"/>
          <w:szCs w:val="24"/>
        </w:rPr>
        <w:t>, 21–38. https://doi.org/10.1016/S0006-3207(98)00133-5</w:t>
      </w:r>
    </w:p>
    <w:p w:rsidR="005807B6" w:rsidRPr="005807B6" w:rsidRDefault="005807B6" w:rsidP="005807B6">
      <w:pPr>
        <w:widowControl w:val="0"/>
        <w:autoSpaceDE w:val="0"/>
        <w:autoSpaceDN w:val="0"/>
        <w:adjustRightInd w:val="0"/>
        <w:spacing w:after="0" w:line="480" w:lineRule="auto"/>
        <w:ind w:left="480" w:hanging="480"/>
        <w:rPr>
          <w:rFonts w:ascii="Times New Roman" w:hAnsi="Times New Roman" w:cs="Times New Roman"/>
          <w:noProof/>
          <w:sz w:val="24"/>
        </w:rPr>
      </w:pPr>
      <w:r w:rsidRPr="005807B6">
        <w:rPr>
          <w:rFonts w:ascii="Times New Roman" w:hAnsi="Times New Roman" w:cs="Times New Roman"/>
          <w:noProof/>
          <w:sz w:val="24"/>
          <w:szCs w:val="24"/>
        </w:rPr>
        <w:t xml:space="preserve">Wiens, J. A. (1989). Spatial scaling in ecology. </w:t>
      </w:r>
      <w:r w:rsidRPr="005807B6">
        <w:rPr>
          <w:rFonts w:ascii="Times New Roman" w:hAnsi="Times New Roman" w:cs="Times New Roman"/>
          <w:i/>
          <w:iCs/>
          <w:noProof/>
          <w:sz w:val="24"/>
          <w:szCs w:val="24"/>
        </w:rPr>
        <w:t>Functional Ecology</w:t>
      </w:r>
      <w:r w:rsidRPr="005807B6">
        <w:rPr>
          <w:rFonts w:ascii="Times New Roman" w:hAnsi="Times New Roman" w:cs="Times New Roman"/>
          <w:noProof/>
          <w:sz w:val="24"/>
          <w:szCs w:val="24"/>
        </w:rPr>
        <w:t xml:space="preserve">, </w:t>
      </w:r>
      <w:r w:rsidRPr="005807B6">
        <w:rPr>
          <w:rFonts w:ascii="Times New Roman" w:hAnsi="Times New Roman" w:cs="Times New Roman"/>
          <w:i/>
          <w:iCs/>
          <w:noProof/>
          <w:sz w:val="24"/>
          <w:szCs w:val="24"/>
        </w:rPr>
        <w:t>3</w:t>
      </w:r>
      <w:r w:rsidRPr="005807B6">
        <w:rPr>
          <w:rFonts w:ascii="Times New Roman" w:hAnsi="Times New Roman" w:cs="Times New Roman"/>
          <w:noProof/>
          <w:sz w:val="24"/>
          <w:szCs w:val="24"/>
        </w:rPr>
        <w:t>(4), 385–397.</w:t>
      </w:r>
    </w:p>
    <w:p w:rsidR="002F2676" w:rsidRPr="002F2676" w:rsidRDefault="005807B6" w:rsidP="002F2676">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sectPr w:rsidR="002F2676" w:rsidRPr="002F2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013"/>
    <w:rsid w:val="0016775A"/>
    <w:rsid w:val="00213E21"/>
    <w:rsid w:val="002F2676"/>
    <w:rsid w:val="003E76BB"/>
    <w:rsid w:val="00412013"/>
    <w:rsid w:val="005807B6"/>
    <w:rsid w:val="009A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26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26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6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2676"/>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2F2676"/>
  </w:style>
  <w:style w:type="paragraph" w:styleId="NormalWeb">
    <w:name w:val="Normal (Web)"/>
    <w:basedOn w:val="Normal"/>
    <w:uiPriority w:val="99"/>
    <w:unhideWhenUsed/>
    <w:rsid w:val="002F26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F2676"/>
  </w:style>
  <w:style w:type="paragraph" w:styleId="BalloonText">
    <w:name w:val="Balloon Text"/>
    <w:basedOn w:val="Normal"/>
    <w:link w:val="BalloonTextChar"/>
    <w:uiPriority w:val="99"/>
    <w:semiHidden/>
    <w:unhideWhenUsed/>
    <w:rsid w:val="002F2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6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26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26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6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2676"/>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2F2676"/>
  </w:style>
  <w:style w:type="paragraph" w:styleId="NormalWeb">
    <w:name w:val="Normal (Web)"/>
    <w:basedOn w:val="Normal"/>
    <w:uiPriority w:val="99"/>
    <w:unhideWhenUsed/>
    <w:rsid w:val="002F26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F2676"/>
  </w:style>
  <w:style w:type="paragraph" w:styleId="BalloonText">
    <w:name w:val="Balloon Text"/>
    <w:basedOn w:val="Normal"/>
    <w:link w:val="BalloonTextChar"/>
    <w:uiPriority w:val="99"/>
    <w:semiHidden/>
    <w:unhideWhenUsed/>
    <w:rsid w:val="002F2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6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922932">
      <w:bodyDiv w:val="1"/>
      <w:marLeft w:val="0"/>
      <w:marRight w:val="0"/>
      <w:marTop w:val="0"/>
      <w:marBottom w:val="0"/>
      <w:divBdr>
        <w:top w:val="none" w:sz="0" w:space="0" w:color="auto"/>
        <w:left w:val="none" w:sz="0" w:space="0" w:color="auto"/>
        <w:bottom w:val="none" w:sz="0" w:space="0" w:color="auto"/>
        <w:right w:val="none" w:sz="0" w:space="0" w:color="auto"/>
      </w:divBdr>
      <w:divsChild>
        <w:div w:id="1590383308">
          <w:marLeft w:val="-30"/>
          <w:marRight w:val="0"/>
          <w:marTop w:val="0"/>
          <w:marBottom w:val="0"/>
          <w:divBdr>
            <w:top w:val="none" w:sz="0" w:space="0" w:color="auto"/>
            <w:left w:val="none" w:sz="0" w:space="0" w:color="auto"/>
            <w:bottom w:val="none" w:sz="0" w:space="0" w:color="auto"/>
            <w:right w:val="none" w:sz="0" w:space="0" w:color="auto"/>
          </w:divBdr>
        </w:div>
        <w:div w:id="1087920614">
          <w:marLeft w:val="-30"/>
          <w:marRight w:val="0"/>
          <w:marTop w:val="0"/>
          <w:marBottom w:val="0"/>
          <w:divBdr>
            <w:top w:val="none" w:sz="0" w:space="0" w:color="auto"/>
            <w:left w:val="none" w:sz="0" w:space="0" w:color="auto"/>
            <w:bottom w:val="none" w:sz="0" w:space="0" w:color="auto"/>
            <w:right w:val="none" w:sz="0" w:space="0" w:color="auto"/>
          </w:divBdr>
        </w:div>
        <w:div w:id="1698889974">
          <w:marLeft w:val="-30"/>
          <w:marRight w:val="0"/>
          <w:marTop w:val="0"/>
          <w:marBottom w:val="0"/>
          <w:divBdr>
            <w:top w:val="none" w:sz="0" w:space="0" w:color="auto"/>
            <w:left w:val="none" w:sz="0" w:space="0" w:color="auto"/>
            <w:bottom w:val="none" w:sz="0" w:space="0" w:color="auto"/>
            <w:right w:val="none" w:sz="0" w:space="0" w:color="auto"/>
          </w:divBdr>
        </w:div>
        <w:div w:id="559052835">
          <w:marLeft w:val="-30"/>
          <w:marRight w:val="0"/>
          <w:marTop w:val="0"/>
          <w:marBottom w:val="0"/>
          <w:divBdr>
            <w:top w:val="none" w:sz="0" w:space="0" w:color="auto"/>
            <w:left w:val="none" w:sz="0" w:space="0" w:color="auto"/>
            <w:bottom w:val="none" w:sz="0" w:space="0" w:color="auto"/>
            <w:right w:val="none" w:sz="0" w:space="0" w:color="auto"/>
          </w:divBdr>
        </w:div>
        <w:div w:id="1634017728">
          <w:marLeft w:val="-22"/>
          <w:marRight w:val="0"/>
          <w:marTop w:val="0"/>
          <w:marBottom w:val="0"/>
          <w:divBdr>
            <w:top w:val="none" w:sz="0" w:space="0" w:color="auto"/>
            <w:left w:val="none" w:sz="0" w:space="0" w:color="auto"/>
            <w:bottom w:val="none" w:sz="0" w:space="0" w:color="auto"/>
            <w:right w:val="none" w:sz="0" w:space="0" w:color="auto"/>
          </w:divBdr>
        </w:div>
        <w:div w:id="561136966">
          <w:marLeft w:val="-22"/>
          <w:marRight w:val="0"/>
          <w:marTop w:val="0"/>
          <w:marBottom w:val="0"/>
          <w:divBdr>
            <w:top w:val="none" w:sz="0" w:space="0" w:color="auto"/>
            <w:left w:val="none" w:sz="0" w:space="0" w:color="auto"/>
            <w:bottom w:val="none" w:sz="0" w:space="0" w:color="auto"/>
            <w:right w:val="none" w:sz="0" w:space="0" w:color="auto"/>
          </w:divBdr>
        </w:div>
        <w:div w:id="2122458963">
          <w:marLeft w:val="-22"/>
          <w:marRight w:val="0"/>
          <w:marTop w:val="0"/>
          <w:marBottom w:val="0"/>
          <w:divBdr>
            <w:top w:val="none" w:sz="0" w:space="0" w:color="auto"/>
            <w:left w:val="none" w:sz="0" w:space="0" w:color="auto"/>
            <w:bottom w:val="none" w:sz="0" w:space="0" w:color="auto"/>
            <w:right w:val="none" w:sz="0" w:space="0" w:color="auto"/>
          </w:divBdr>
        </w:div>
        <w:div w:id="792747203">
          <w:marLeft w:val="-22"/>
          <w:marRight w:val="0"/>
          <w:marTop w:val="0"/>
          <w:marBottom w:val="0"/>
          <w:divBdr>
            <w:top w:val="none" w:sz="0" w:space="0" w:color="auto"/>
            <w:left w:val="none" w:sz="0" w:space="0" w:color="auto"/>
            <w:bottom w:val="none" w:sz="0" w:space="0" w:color="auto"/>
            <w:right w:val="none" w:sz="0" w:space="0" w:color="auto"/>
          </w:divBdr>
        </w:div>
      </w:divsChild>
    </w:div>
    <w:div w:id="2130584111">
      <w:bodyDiv w:val="1"/>
      <w:marLeft w:val="0"/>
      <w:marRight w:val="0"/>
      <w:marTop w:val="0"/>
      <w:marBottom w:val="0"/>
      <w:divBdr>
        <w:top w:val="none" w:sz="0" w:space="0" w:color="auto"/>
        <w:left w:val="none" w:sz="0" w:space="0" w:color="auto"/>
        <w:bottom w:val="none" w:sz="0" w:space="0" w:color="auto"/>
        <w:right w:val="none" w:sz="0" w:space="0" w:color="auto"/>
      </w:divBdr>
      <w:divsChild>
        <w:div w:id="1622765011">
          <w:marLeft w:val="-30"/>
          <w:marRight w:val="0"/>
          <w:marTop w:val="0"/>
          <w:marBottom w:val="0"/>
          <w:divBdr>
            <w:top w:val="none" w:sz="0" w:space="0" w:color="auto"/>
            <w:left w:val="none" w:sz="0" w:space="0" w:color="auto"/>
            <w:bottom w:val="none" w:sz="0" w:space="0" w:color="auto"/>
            <w:right w:val="none" w:sz="0" w:space="0" w:color="auto"/>
          </w:divBdr>
        </w:div>
        <w:div w:id="648675823">
          <w:marLeft w:val="-30"/>
          <w:marRight w:val="0"/>
          <w:marTop w:val="0"/>
          <w:marBottom w:val="0"/>
          <w:divBdr>
            <w:top w:val="none" w:sz="0" w:space="0" w:color="auto"/>
            <w:left w:val="none" w:sz="0" w:space="0" w:color="auto"/>
            <w:bottom w:val="none" w:sz="0" w:space="0" w:color="auto"/>
            <w:right w:val="none" w:sz="0" w:space="0" w:color="auto"/>
          </w:divBdr>
        </w:div>
        <w:div w:id="197746084">
          <w:marLeft w:val="-30"/>
          <w:marRight w:val="0"/>
          <w:marTop w:val="0"/>
          <w:marBottom w:val="0"/>
          <w:divBdr>
            <w:top w:val="none" w:sz="0" w:space="0" w:color="auto"/>
            <w:left w:val="none" w:sz="0" w:space="0" w:color="auto"/>
            <w:bottom w:val="none" w:sz="0" w:space="0" w:color="auto"/>
            <w:right w:val="none" w:sz="0" w:space="0" w:color="auto"/>
          </w:divBdr>
        </w:div>
        <w:div w:id="52895297">
          <w:marLeft w:val="-30"/>
          <w:marRight w:val="0"/>
          <w:marTop w:val="0"/>
          <w:marBottom w:val="0"/>
          <w:divBdr>
            <w:top w:val="none" w:sz="0" w:space="0" w:color="auto"/>
            <w:left w:val="none" w:sz="0" w:space="0" w:color="auto"/>
            <w:bottom w:val="none" w:sz="0" w:space="0" w:color="auto"/>
            <w:right w:val="none" w:sz="0" w:space="0" w:color="auto"/>
          </w:divBdr>
        </w:div>
        <w:div w:id="2146115105">
          <w:marLeft w:val="-22"/>
          <w:marRight w:val="0"/>
          <w:marTop w:val="0"/>
          <w:marBottom w:val="0"/>
          <w:divBdr>
            <w:top w:val="none" w:sz="0" w:space="0" w:color="auto"/>
            <w:left w:val="none" w:sz="0" w:space="0" w:color="auto"/>
            <w:bottom w:val="none" w:sz="0" w:space="0" w:color="auto"/>
            <w:right w:val="none" w:sz="0" w:space="0" w:color="auto"/>
          </w:divBdr>
        </w:div>
        <w:div w:id="176387027">
          <w:marLeft w:val="-22"/>
          <w:marRight w:val="0"/>
          <w:marTop w:val="0"/>
          <w:marBottom w:val="0"/>
          <w:divBdr>
            <w:top w:val="none" w:sz="0" w:space="0" w:color="auto"/>
            <w:left w:val="none" w:sz="0" w:space="0" w:color="auto"/>
            <w:bottom w:val="none" w:sz="0" w:space="0" w:color="auto"/>
            <w:right w:val="none" w:sz="0" w:space="0" w:color="auto"/>
          </w:divBdr>
        </w:div>
        <w:div w:id="1573539793">
          <w:marLeft w:val="-22"/>
          <w:marRight w:val="0"/>
          <w:marTop w:val="0"/>
          <w:marBottom w:val="0"/>
          <w:divBdr>
            <w:top w:val="none" w:sz="0" w:space="0" w:color="auto"/>
            <w:left w:val="none" w:sz="0" w:space="0" w:color="auto"/>
            <w:bottom w:val="none" w:sz="0" w:space="0" w:color="auto"/>
            <w:right w:val="none" w:sz="0" w:space="0" w:color="auto"/>
          </w:divBdr>
        </w:div>
        <w:div w:id="1490907264">
          <w:marLeft w:val="-2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5785B2D-D066-4247-A3D3-30C79E1F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18485</Words>
  <Characters>105370</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Nicole</cp:lastModifiedBy>
  <cp:revision>3</cp:revision>
  <cp:lastPrinted>2019-06-06T06:02:00Z</cp:lastPrinted>
  <dcterms:created xsi:type="dcterms:W3CDTF">2019-06-06T05:06:00Z</dcterms:created>
  <dcterms:modified xsi:type="dcterms:W3CDTF">2019-06-06T06:02:00Z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http://www.zotero.org/styles/journal-for-nature-conservation</vt:lpwstr>
  </property>
  <property fmtid="{D5CDD505-2E9C-101B-9397-08002B2CF9AE}" pid="15" name="Mendeley Recent Style Name 6_1">
    <vt:lpwstr>Journal for Nature Conservation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211e5fc9-3be7-3c76-9f96-a7a85a1dc49e</vt:lpwstr>
  </property>
  <property fmtid="{D5CDD505-2E9C-101B-9397-08002B2CF9AE}" pid="24" name="Mendeley Citation Style_1">
    <vt:lpwstr>http://www.zotero.org/styles/journal-for-nature-conservation</vt:lpwstr>
  </property>
</Properties>
</file>