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2">
      <w:pPr>
        <w:widowControl w:val="0"/>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widowControl w:val="0"/>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widowControl w:val="0"/>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widowControl w:val="0"/>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6">
      <w:pPr>
        <w:widowControl w:val="0"/>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7">
      <w:pPr>
        <w:widowControl w:val="0"/>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8">
      <w:pPr>
        <w:widowControl w:val="0"/>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Temporal effectiveness of biodiversity surrogates in</w:t>
      </w:r>
    </w:p>
    <w:p w:rsidR="00000000" w:rsidDel="00000000" w:rsidP="00000000" w:rsidRDefault="00000000" w:rsidRPr="00000000" w14:paraId="00000009">
      <w:pPr>
        <w:widowControl w:val="0"/>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coral reefs in the British Virgin Islands</w:t>
      </w:r>
    </w:p>
    <w:p w:rsidR="00000000" w:rsidDel="00000000" w:rsidP="00000000" w:rsidRDefault="00000000" w:rsidRPr="00000000" w14:paraId="0000000A">
      <w:pPr>
        <w:widowControl w:val="0"/>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Nicole B. Keefner</w:t>
      </w:r>
    </w:p>
    <w:p w:rsidR="00000000" w:rsidDel="00000000" w:rsidP="00000000" w:rsidRDefault="00000000" w:rsidRPr="00000000" w14:paraId="0000000B">
      <w:pPr>
        <w:widowControl w:val="0"/>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Biological and Environmental Sciences</w:t>
      </w:r>
    </w:p>
    <w:p w:rsidR="00000000" w:rsidDel="00000000" w:rsidP="00000000" w:rsidRDefault="00000000" w:rsidRPr="00000000" w14:paraId="0000000C">
      <w:pPr>
        <w:widowControl w:val="0"/>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D">
      <w:pPr>
        <w:widowControl w:val="0"/>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E">
      <w:pPr>
        <w:widowControl w:val="0"/>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F">
      <w:pPr>
        <w:widowControl w:val="0"/>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0">
      <w:pPr>
        <w:widowControl w:val="0"/>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1">
      <w:pPr>
        <w:widowControl w:val="0"/>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2">
      <w:pPr>
        <w:widowControl w:val="0"/>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3">
      <w:pPr>
        <w:pStyle w:val="Title"/>
        <w:rPr/>
      </w:pPr>
      <w:r w:rsidDel="00000000" w:rsidR="00000000" w:rsidRPr="00000000">
        <w:br w:type="page"/>
      </w:r>
      <w:r w:rsidDel="00000000" w:rsidR="00000000" w:rsidRPr="00000000">
        <w:rPr>
          <w:rtl w:val="0"/>
        </w:rPr>
        <w:t xml:space="preserve">Temporal effectiveness of biodiversity surrogates in coral reefs in the British Virgin Islands</w:t>
      </w:r>
    </w:p>
    <w:p w:rsidR="00000000" w:rsidDel="00000000" w:rsidP="00000000" w:rsidRDefault="00000000" w:rsidRPr="00000000" w14:paraId="00000014">
      <w:pPr>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Nicole B. Keefner</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tl w:val="0"/>
        </w:rPr>
      </w:r>
    </w:p>
    <w:p w:rsidR="00000000" w:rsidDel="00000000" w:rsidP="00000000" w:rsidRDefault="00000000" w:rsidRPr="00000000" w14:paraId="00000015">
      <w:pPr>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Department of Natural Resources Science, University of Rhode Island, Kingston, RI 02881, USA. </w:t>
      </w:r>
    </w:p>
    <w:p w:rsidR="00000000" w:rsidDel="00000000" w:rsidP="00000000" w:rsidRDefault="00000000" w:rsidRPr="00000000" w14:paraId="00000016">
      <w:pPr>
        <w:pStyle w:val="Heading1"/>
        <w:rPr/>
      </w:pPr>
      <w:commentRangeStart w:id="0"/>
      <w:r w:rsidDel="00000000" w:rsidR="00000000" w:rsidRPr="00000000">
        <w:rPr>
          <w:rtl w:val="0"/>
        </w:rPr>
        <w:t xml:space="preserve">Abstract</w:t>
      </w:r>
    </w:p>
    <w:p w:rsidR="00000000" w:rsidDel="00000000" w:rsidP="00000000" w:rsidRDefault="00000000" w:rsidRPr="00000000" w14:paraId="00000017">
      <w:pPr>
        <w:ind w:firstLine="72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Biodiversity is declining around the world, necessitating rapid identification of species distribution contractions and population declines to identify conservation priorities. Surrogates are increasingly being used to meet this challenge. A good surrogate is expected to be easier to monitor than the target component of biodiversity and meets the assumption that the target-surrogate relationship is constant over space and time. Our objective was to evaluate the spatio-temporal stability of surrogates in coral reef systems around using data from an ongoing 26-year monitoring program in the British Virgin Islands that has quantified the abundance of fish, coral, and sponge species at 8 sites. Of these taxa, corals are the most widely monitored and measures of coral cover are often assumed to be good surrogates for diversity of reef-associated taxa. We thus hypothesize that coral cover and rugosity will be good surrogates for fish, coral, and sponge species richness. We also investigated how the inclusion of recognizable taxonomic units (RTU’s) compares to species-level studies. We sought correlated relationships between the proposed surrogates and fish, coral, and sponge species richness. Our results provide insight on the use of surrogates in a coral reef ecosystem and on the inclusion of RTU’s in biodiversity studies. The identification of surrogates that maintain stable relationships with target components of biodiversity over time can inform decisions regarding existing data from monitoring studies and the allocation of limited resources for collection of future data.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8">
      <w:pPr>
        <w:widowControl w:val="0"/>
        <w:spacing w:line="48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pStyle w:val="Heading1"/>
        <w:rPr/>
      </w:pPr>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rPr/>
      </w:pPr>
      <w:r w:rsidDel="00000000" w:rsidR="00000000" w:rsidRPr="00000000">
        <w:rPr>
          <w:rtl w:val="0"/>
        </w:rPr>
        <w:t xml:space="preserve">Introduction </w:t>
      </w:r>
    </w:p>
    <w:p w:rsidR="00000000" w:rsidDel="00000000" w:rsidP="00000000" w:rsidRDefault="00000000" w:rsidRPr="00000000" w14:paraId="0000001B">
      <w:pPr>
        <w:spacing w:line="480" w:lineRule="auto"/>
        <w:ind w:firstLine="720"/>
        <w:rPr>
          <w:rFonts w:ascii="Times New Roman" w:cs="Times New Roman" w:eastAsia="Times New Roman" w:hAnsi="Times New Roman"/>
        </w:rPr>
      </w:pPr>
      <w:bookmarkStart w:colFirst="0" w:colLast="0" w:name="_gjdgxs" w:id="0"/>
      <w:bookmarkEnd w:id="0"/>
      <w:r w:rsidDel="00000000" w:rsidR="00000000" w:rsidRPr="00000000">
        <w:rPr>
          <w:rFonts w:ascii="Times New Roman" w:cs="Times New Roman" w:eastAsia="Times New Roman" w:hAnsi="Times New Roman"/>
          <w:rtl w:val="0"/>
        </w:rPr>
        <w:t xml:space="preserve">Biodiversity declines associated with increasing levels of anthropogenic stress </w:t>
      </w:r>
      <w:r w:rsidDel="00000000" w:rsidR="00000000" w:rsidRPr="00000000">
        <w:rPr>
          <w:rtl w:val="0"/>
        </w:rPr>
        <w:t xml:space="preserve">are of great concern because they reflect loss of species, </w:t>
      </w:r>
      <w:r w:rsidDel="00000000" w:rsidR="00000000" w:rsidRPr="00000000">
        <w:rPr>
          <w:rFonts w:ascii="Times New Roman" w:cs="Times New Roman" w:eastAsia="Times New Roman" w:hAnsi="Times New Roman"/>
          <w:rtl w:val="0"/>
        </w:rPr>
        <w:t xml:space="preserve">disruption of community dynamics and </w:t>
      </w:r>
      <w:r w:rsidDel="00000000" w:rsidR="00000000" w:rsidRPr="00000000">
        <w:rPr>
          <w:rtl w:val="0"/>
        </w:rPr>
        <w:t xml:space="preserve">diminished</w:t>
      </w:r>
      <w:r w:rsidDel="00000000" w:rsidR="00000000" w:rsidRPr="00000000">
        <w:rPr>
          <w:rFonts w:ascii="Times New Roman" w:cs="Times New Roman" w:eastAsia="Times New Roman" w:hAnsi="Times New Roman"/>
          <w:rtl w:val="0"/>
        </w:rPr>
        <w:t xml:space="preserve"> ecosystem function (Dobson et al., 2006; Ehrlich &amp; Wilson, 1991; Emmett Duffy, 2009; Naeem et al., 1994; Staudinger et al., 2013; Stork, 2010). There are many aspects of biodiversity: landscape, ecosystem, taxonomic, and genetic (Duelli &amp; Obrist, 2003; Noss, 1990). Taxonomic diversity of an area, particularly the diversity of species, </w:t>
      </w:r>
      <w:commentRangeStart w:id="1"/>
      <w:commentRangeStart w:id="2"/>
      <w:commentRangeStart w:id="3"/>
      <w:commentRangeStart w:id="4"/>
      <w:r w:rsidDel="00000000" w:rsidR="00000000" w:rsidRPr="00000000">
        <w:rPr>
          <w:rFonts w:ascii="Times New Roman" w:cs="Times New Roman" w:eastAsia="Times New Roman" w:hAnsi="Times New Roman"/>
          <w:rtl w:val="0"/>
        </w:rPr>
        <w:t xml:space="preserve">is fundamental to understanding interspecific interactions, </w:t>
      </w:r>
      <w:r w:rsidDel="00000000" w:rsidR="00000000" w:rsidRPr="00000000">
        <w:rPr>
          <w:rFonts w:ascii="Times New Roman" w:cs="Times New Roman" w:eastAsia="Times New Roman" w:hAnsi="Times New Roman"/>
          <w:rtl w:val="0"/>
        </w:rPr>
        <w:t xml:space="preserve">environmental conditions</w:t>
      </w:r>
      <w:r w:rsidDel="00000000" w:rsidR="00000000" w:rsidRPr="00000000">
        <w:rPr>
          <w:rFonts w:ascii="Times New Roman" w:cs="Times New Roman" w:eastAsia="Times New Roman" w:hAnsi="Times New Roman"/>
          <w:rtl w:val="0"/>
        </w:rPr>
        <w:t xml:space="preserve"> at the site given physiological requirements of the species present, and geographic proximity of species </w:t>
      </w:r>
      <w:r w:rsidDel="00000000" w:rsidR="00000000" w:rsidRPr="00000000">
        <w:rPr>
          <w:rFonts w:ascii="Times New Roman" w:cs="Times New Roman" w:eastAsia="Times New Roman" w:hAnsi="Times New Roman"/>
          <w:rtl w:val="0"/>
        </w:rPr>
        <w:t xml:space="preserve">distributions</w:t>
      </w:r>
      <w:r w:rsidDel="00000000" w:rsidR="00000000" w:rsidRPr="00000000">
        <w:rPr>
          <w:rFonts w:ascii="Times New Roman" w:cs="Times New Roman" w:eastAsia="Times New Roman" w:hAnsi="Times New Roman"/>
          <w:rtl w:val="0"/>
        </w:rPr>
        <w:t xml:space="preserve"> of taxonomically related specie</w:t>
      </w:r>
      <w:r w:rsidDel="00000000" w:rsidR="00000000" w:rsidRPr="00000000">
        <w:rPr>
          <w:rFonts w:ascii="Times New Roman" w:cs="Times New Roman" w:eastAsia="Times New Roman" w:hAnsi="Times New Roman"/>
          <w:rtl w:val="0"/>
        </w:rPr>
        <w:t xml:space="preserve">s</w:t>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r w:rsidDel="00000000" w:rsidR="00000000" w:rsidRPr="00000000">
        <w:rPr>
          <w:rFonts w:ascii="Times New Roman" w:cs="Times New Roman" w:eastAsia="Times New Roman" w:hAnsi="Times New Roman"/>
          <w:rtl w:val="0"/>
        </w:rPr>
        <w:t xml:space="preserve">. Consequently, species richness, a simple measure of the count of species in an area, is the most commonly measured component of biodiversity in ecological and conservation-related field studies because </w:t>
      </w:r>
      <w:r w:rsidDel="00000000" w:rsidR="00000000" w:rsidRPr="00000000">
        <w:rPr>
          <w:rFonts w:ascii="Times New Roman" w:cs="Times New Roman" w:eastAsia="Times New Roman" w:hAnsi="Times New Roman"/>
          <w:rtl w:val="0"/>
        </w:rPr>
        <w:t xml:space="preserve">it offers an intuitive metric to compare </w:t>
      </w:r>
      <w:commentRangeStart w:id="5"/>
      <w:commentRangeStart w:id="6"/>
      <w:r w:rsidDel="00000000" w:rsidR="00000000" w:rsidRPr="00000000">
        <w:rPr>
          <w:rFonts w:ascii="Times New Roman" w:cs="Times New Roman" w:eastAsia="Times New Roman" w:hAnsi="Times New Roman"/>
          <w:rtl w:val="0"/>
        </w:rPr>
        <w:t xml:space="preserve">similar environments</w:t>
      </w:r>
      <w:commentRangeEnd w:id="5"/>
      <w:r w:rsidDel="00000000" w:rsidR="00000000" w:rsidRPr="00000000">
        <w:commentReference w:id="5"/>
      </w:r>
      <w:commentRangeEnd w:id="6"/>
      <w:r w:rsidDel="00000000" w:rsidR="00000000" w:rsidRPr="00000000">
        <w:commentReference w:id="6"/>
      </w:r>
      <w:r w:rsidDel="00000000" w:rsidR="00000000" w:rsidRPr="00000000">
        <w:rPr>
          <w:rFonts w:ascii="Times New Roman" w:cs="Times New Roman" w:eastAsia="Times New Roman" w:hAnsi="Times New Roman"/>
          <w:rtl w:val="0"/>
        </w:rPr>
        <w:t xml:space="preserve"> (Hamilton, 2005).</w:t>
      </w:r>
    </w:p>
    <w:p w:rsidR="00000000" w:rsidDel="00000000" w:rsidP="00000000" w:rsidRDefault="00000000" w:rsidRPr="00000000" w14:paraId="0000001C">
      <w:pPr>
        <w:spacing w:line="480" w:lineRule="auto"/>
        <w:ind w:firstLine="720"/>
        <w:rPr>
          <w:rFonts w:ascii="Times New Roman" w:cs="Times New Roman" w:eastAsia="Times New Roman" w:hAnsi="Times New Roman"/>
        </w:rPr>
      </w:pPr>
      <w:bookmarkStart w:colFirst="0" w:colLast="0" w:name="_q2hepsd6fli" w:id="1"/>
      <w:bookmarkEnd w:id="1"/>
      <w:r w:rsidDel="00000000" w:rsidR="00000000" w:rsidRPr="00000000">
        <w:rPr>
          <w:rFonts w:ascii="Times New Roman" w:cs="Times New Roman" w:eastAsia="Times New Roman" w:hAnsi="Times New Roman"/>
          <w:rtl w:val="0"/>
        </w:rPr>
        <w:t xml:space="preserve">Unfortunately, a complete inventory of species present in an area is unattainable in many ecosystems and, for taxonomic groups that can be inventoried in principle, monitoring strategies that could detect all species in a given habitat are often prohibitively expensive and time-consuming (Kati et al., 2004). In practice, surrogates are often used instead of direct measures of biodiversity because they are simple indicators that provide an estimate of a target component of biodiversity, often referred to more simply as a target </w:t>
      </w:r>
      <w:r w:rsidDel="00000000" w:rsidR="00000000" w:rsidRPr="00000000">
        <w:rPr>
          <w:rFonts w:ascii="Times New Roman" w:cs="Times New Roman" w:eastAsia="Times New Roman" w:hAnsi="Times New Roman"/>
          <w:rtl w:val="0"/>
        </w:rPr>
        <w:t xml:space="preserve">(Mellin et al., 2011)</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Surrogates may be functional (e.g., macroalgal morphological groups), taxonomic (e.g., polychaete family abundances), or landscape features (e.g., tree microhabitats; Olsgard &amp; Somerfield, 2000; Paillet et al., 2018; Rubal et al., 2011).</w:t>
      </w:r>
      <w:r w:rsidDel="00000000" w:rsidR="00000000" w:rsidRPr="00000000">
        <w:rPr>
          <w:rFonts w:ascii="Times New Roman" w:cs="Times New Roman" w:eastAsia="Times New Roman" w:hAnsi="Times New Roman"/>
          <w:rtl w:val="0"/>
        </w:rPr>
        <w:t xml:space="preserve"> An effective surrogate has two es</w:t>
      </w:r>
      <w:r w:rsidDel="00000000" w:rsidR="00000000" w:rsidRPr="00000000">
        <w:rPr>
          <w:rtl w:val="0"/>
        </w:rPr>
        <w:t xml:space="preserve">sential features:  first, it </w:t>
      </w:r>
      <w:r w:rsidDel="00000000" w:rsidR="00000000" w:rsidRPr="00000000">
        <w:rPr>
          <w:rFonts w:ascii="Times New Roman" w:cs="Times New Roman" w:eastAsia="Times New Roman" w:hAnsi="Times New Roman"/>
          <w:rtl w:val="0"/>
        </w:rPr>
        <w:t xml:space="preserve">takes less time, money, and experience to measure than the target and second i</w:t>
      </w:r>
      <w:r w:rsidDel="00000000" w:rsidR="00000000" w:rsidRPr="00000000">
        <w:rPr>
          <w:rtl w:val="0"/>
        </w:rPr>
        <w:t xml:space="preserve">t </w:t>
      </w:r>
      <w:r w:rsidDel="00000000" w:rsidR="00000000" w:rsidRPr="00000000">
        <w:rPr>
          <w:rFonts w:ascii="Times New Roman" w:cs="Times New Roman" w:eastAsia="Times New Roman" w:hAnsi="Times New Roman"/>
          <w:rtl w:val="0"/>
        </w:rPr>
        <w:t xml:space="preserve">maintains a consistently strong correlation with the target over space and time (</w:t>
      </w:r>
      <w:r w:rsidDel="00000000" w:rsidR="00000000" w:rsidRPr="00000000">
        <w:rPr>
          <w:rtl w:val="0"/>
        </w:rPr>
        <w:t xml:space="preserve">Colwell &amp; Coddington, 1994; </w:t>
      </w:r>
      <w:r w:rsidDel="00000000" w:rsidR="00000000" w:rsidRPr="00000000">
        <w:rPr>
          <w:rFonts w:ascii="Times New Roman" w:cs="Times New Roman" w:eastAsia="Times New Roman" w:hAnsi="Times New Roman"/>
          <w:rtl w:val="0"/>
        </w:rPr>
        <w:t xml:space="preserve">Magierowski &amp; Johnson, 2006; Moreno et al., 2007).</w:t>
      </w:r>
    </w:p>
    <w:p w:rsidR="00000000" w:rsidDel="00000000" w:rsidP="00000000" w:rsidRDefault="00000000" w:rsidRPr="00000000" w14:paraId="0000001D">
      <w:pPr>
        <w:spacing w:line="480" w:lineRule="auto"/>
        <w:ind w:firstLine="720"/>
        <w:rPr>
          <w:rFonts w:ascii="Times New Roman" w:cs="Times New Roman" w:eastAsia="Times New Roman" w:hAnsi="Times New Roman"/>
        </w:rPr>
      </w:pPr>
      <w:r w:rsidDel="00000000" w:rsidR="00000000" w:rsidRPr="00000000">
        <w:rPr>
          <w:rtl w:val="0"/>
        </w:rPr>
        <w:t xml:space="preserve">Simplicity and cheapness is achieved in different ways.  </w:t>
      </w:r>
      <w:r w:rsidDel="00000000" w:rsidR="00000000" w:rsidRPr="00000000">
        <w:rPr>
          <w:rFonts w:ascii="Times New Roman" w:cs="Times New Roman" w:eastAsia="Times New Roman" w:hAnsi="Times New Roman"/>
          <w:rtl w:val="0"/>
        </w:rPr>
        <w:t xml:space="preserve">Many surrogates used to predict species richness require fewer resources to measure due to</w:t>
      </w:r>
      <w:r w:rsidDel="00000000" w:rsidR="00000000" w:rsidRPr="00000000">
        <w:rPr>
          <w:rFonts w:ascii="Times New Roman" w:cs="Times New Roman" w:eastAsia="Times New Roman" w:hAnsi="Times New Roman"/>
          <w:rtl w:val="0"/>
        </w:rPr>
        <w:t xml:space="preserve"> a reduction of taxonomic resolution in the case of taxonomic surrogates or the possible elimination of the need to identify species altogether in the case of functional or landscape feature surrogates (Fontaine, Devillers, Peres-Neto, &amp; Johnson, 2015; Musco, Mikac, Tataranni, Giangrande, &amp; Terlizzi, 2011; Olsgard &amp; Somerfield, 2000). Monitoring species richness requires substantial taxonomic expertise (Hirst, 2008; Sebek et al., 2012). Moreover, some species that can be recognized in the lab using morphological features or genetic markers cannot be distinguished in situ during field surveys. When individuals are not phenotypically distinguishable between taxonomic groups, studies sometimes use recognizable taxonomic units (RTU’s) or morphospecies that are defined by readily identifiable characteristics in the field (Derraik et al., 2002).</w:t>
      </w:r>
      <w:r w:rsidDel="00000000" w:rsidR="00000000" w:rsidRPr="00000000">
        <w:rPr>
          <w:rtl w:val="0"/>
        </w:rPr>
      </w:r>
    </w:p>
    <w:p w:rsidR="00000000" w:rsidDel="00000000" w:rsidP="00000000" w:rsidRDefault="00000000" w:rsidRPr="00000000" w14:paraId="0000001E">
      <w:pPr>
        <w:spacing w:line="480" w:lineRule="auto"/>
        <w:ind w:left="0" w:firstLine="720"/>
        <w:rPr>
          <w:rFonts w:ascii="Times New Roman" w:cs="Times New Roman" w:eastAsia="Times New Roman" w:hAnsi="Times New Roman"/>
        </w:rPr>
      </w:pPr>
      <w:r w:rsidDel="00000000" w:rsidR="00000000" w:rsidRPr="00000000">
        <w:rPr>
          <w:rtl w:val="0"/>
        </w:rPr>
        <w:t xml:space="preserve">The second essential feature of surrogates, stability it in space and time, has been only partially tested.  M</w:t>
      </w:r>
      <w:r w:rsidDel="00000000" w:rsidR="00000000" w:rsidRPr="00000000">
        <w:rPr>
          <w:rFonts w:ascii="Times New Roman" w:cs="Times New Roman" w:eastAsia="Times New Roman" w:hAnsi="Times New Roman"/>
          <w:rtl w:val="0"/>
        </w:rPr>
        <w:t xml:space="preserve">ost surrogate studies to date have been concerned with the effectiveness of surrogates across spatial scales (Kati et al., 2004; Smale, 2010) b</w:t>
      </w:r>
      <w:commentRangeStart w:id="7"/>
      <w:commentRangeStart w:id="8"/>
      <w:r w:rsidDel="00000000" w:rsidR="00000000" w:rsidRPr="00000000">
        <w:rPr>
          <w:rFonts w:ascii="Times New Roman" w:cs="Times New Roman" w:eastAsia="Times New Roman" w:hAnsi="Times New Roman"/>
          <w:rtl w:val="0"/>
        </w:rPr>
        <w:t xml:space="preserve">ecause ecological dynamics commonly change across spatial scales</w:t>
      </w:r>
      <w:commentRangeEnd w:id="7"/>
      <w:r w:rsidDel="00000000" w:rsidR="00000000" w:rsidRPr="00000000">
        <w:commentReference w:id="7"/>
      </w:r>
      <w:commentRangeEnd w:id="8"/>
      <w:r w:rsidDel="00000000" w:rsidR="00000000" w:rsidRPr="00000000">
        <w:commentReference w:id="8"/>
      </w:r>
      <w:r w:rsidDel="00000000" w:rsidR="00000000" w:rsidRPr="00000000">
        <w:rPr>
          <w:rFonts w:ascii="Times New Roman" w:cs="Times New Roman" w:eastAsia="Times New Roman" w:hAnsi="Times New Roman"/>
          <w:rtl w:val="0"/>
        </w:rPr>
        <w:t xml:space="preserve"> (Wiens, 1989). The prevalence of studies considering surrogates across spatial scales may also be due to the widespread use of surrogates to identify priority conservation areas; this task requires an understanding of how the size and dispersion of the areas being conserved will affect the dynamics between the surrogate and target (Margules, Pressey, &amp; Williams, 2002; Padoa-Schioppa, Baietto, Massa, &amp; Bottoni, 2006; Ward, Vanderklift, Nicholls, &amp; Kenchington, 1999).</w:t>
      </w:r>
    </w:p>
    <w:p w:rsidR="00000000" w:rsidDel="00000000" w:rsidP="00000000" w:rsidRDefault="00000000" w:rsidRPr="00000000" w14:paraId="0000001F">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few studies have explicitly investigated surrogate effectiveness across temporal scales, and those that have are typically quite short (e.g., 13 months and 1 year; Magierowski &amp; Johnson, 2006; Rubal, Veiga, Vieira, &amp; Sousa-Pinto, 2011). Despite not always being their primary focus, authors recognize that an effective surrogate must maintain a stable relationship with the target over time, in other words any environmental changes that </w:t>
      </w:r>
      <w:r w:rsidDel="00000000" w:rsidR="00000000" w:rsidRPr="00000000">
        <w:rPr>
          <w:rtl w:val="0"/>
        </w:rPr>
        <w:t xml:space="preserve">influence the target must have a qualitatively similar influence on the surrogate </w:t>
      </w:r>
      <w:r w:rsidDel="00000000" w:rsidR="00000000" w:rsidRPr="00000000">
        <w:rPr>
          <w:rFonts w:ascii="Times New Roman" w:cs="Times New Roman" w:eastAsia="Times New Roman" w:hAnsi="Times New Roman"/>
          <w:rtl w:val="0"/>
        </w:rPr>
        <w:t xml:space="preserve">(Bevilacqua et al., 2018; Lewandowski et al., 2010; Mellin et al., 2011). </w:t>
      </w:r>
      <w:commentRangeStart w:id="9"/>
      <w:commentRangeStart w:id="10"/>
      <w:commentRangeStart w:id="11"/>
      <w:r w:rsidDel="00000000" w:rsidR="00000000" w:rsidRPr="00000000">
        <w:rPr>
          <w:rFonts w:ascii="Times New Roman" w:cs="Times New Roman" w:eastAsia="Times New Roman" w:hAnsi="Times New Roman"/>
          <w:rtl w:val="0"/>
        </w:rPr>
        <w:t xml:space="preserve">One of the few longer studies (&gt;10 years) concluded that their main landscape feature surrogate of interest, percent canopy cover, was a reliable predictor of bird species richness at 3 of their 4 study areas (Pierson, Mortelliti, Barton, Lane, &amp; Lindenmayer, 2016). Another study used a 3-year dataset and found that marine habitat categories identified from maps could be used as landscape feature surrogates to successfully predict differences in the target assemblage of fish, plants, and invertebrate species when selecting areas for marine reserves (Ward, 1999). However, this study failed to emphasize the temporal effectiveness of these surrogates.</w:t>
      </w:r>
      <w:commentRangeEnd w:id="9"/>
      <w:r w:rsidDel="00000000" w:rsidR="00000000" w:rsidRPr="00000000">
        <w:commentReference w:id="9"/>
      </w:r>
      <w:commentRangeEnd w:id="10"/>
      <w:r w:rsidDel="00000000" w:rsidR="00000000" w:rsidRPr="00000000">
        <w:commentReference w:id="10"/>
      </w:r>
      <w:commentRangeEnd w:id="11"/>
      <w:r w:rsidDel="00000000" w:rsidR="00000000" w:rsidRPr="00000000">
        <w:commentReference w:id="11"/>
      </w:r>
      <w:r w:rsidDel="00000000" w:rsidR="00000000" w:rsidRPr="00000000">
        <w:rPr>
          <w:rFonts w:ascii="Times New Roman" w:cs="Times New Roman" w:eastAsia="Times New Roman" w:hAnsi="Times New Roman"/>
          <w:rtl w:val="0"/>
        </w:rPr>
        <w:t xml:space="preserve"> The need for more studies that investigate the effectiveness of surrogates over time is evident.</w:t>
      </w:r>
    </w:p>
    <w:p w:rsidR="00000000" w:rsidDel="00000000" w:rsidP="00000000" w:rsidRDefault="00000000" w:rsidRPr="00000000" w14:paraId="00000020">
      <w:pPr>
        <w:spacing w:line="480" w:lineRule="auto"/>
        <w:ind w:firstLine="720"/>
        <w:rPr>
          <w:rFonts w:ascii="Times New Roman" w:cs="Times New Roman" w:eastAsia="Times New Roman" w:hAnsi="Times New Roman"/>
        </w:rPr>
      </w:pPr>
      <w:r w:rsidDel="00000000" w:rsidR="00000000" w:rsidRPr="00000000">
        <w:rPr>
          <w:rtl w:val="0"/>
        </w:rPr>
        <w:t xml:space="preserve">In this study, I test the effectiveness of surrogates for species richness on </w:t>
      </w:r>
      <w:commentRangeStart w:id="12"/>
      <w:r w:rsidDel="00000000" w:rsidR="00000000" w:rsidRPr="00000000">
        <w:rPr>
          <w:rFonts w:ascii="Times New Roman" w:cs="Times New Roman" w:eastAsia="Times New Roman" w:hAnsi="Times New Roman"/>
          <w:rtl w:val="0"/>
        </w:rPr>
        <w:t xml:space="preserve">Coral reefs.  Coral reefs a</w:t>
      </w:r>
      <w:commentRangeEnd w:id="12"/>
      <w:r w:rsidDel="00000000" w:rsidR="00000000" w:rsidRPr="00000000">
        <w:commentReference w:id="12"/>
      </w:r>
      <w:r w:rsidDel="00000000" w:rsidR="00000000" w:rsidRPr="00000000">
        <w:rPr>
          <w:rFonts w:ascii="Times New Roman" w:cs="Times New Roman" w:eastAsia="Times New Roman" w:hAnsi="Times New Roman"/>
          <w:rtl w:val="0"/>
        </w:rPr>
        <w:t xml:space="preserve">re monitored across both spatial and temporal scales because they are biodiversity hotspots that are globally threatened due to environmental and anthropogenic factors, including ocean acidification, persistent high temperatures, and overfishing (Comeau et al., 2016; Terence P Hughes, 1994; Terry P. Hughes et al., 2017). Reef fishes, hard corals (Scleractinia), and sponges are dominant coral reef organisms that establish and maintain biodiversity by filling multiple functional roles in coral reef systems and therefore, </w:t>
      </w:r>
      <w:commentRangeStart w:id="13"/>
      <w:commentRangeStart w:id="14"/>
      <w:commentRangeStart w:id="15"/>
      <w:r w:rsidDel="00000000" w:rsidR="00000000" w:rsidRPr="00000000">
        <w:rPr>
          <w:rFonts w:ascii="Times New Roman" w:cs="Times New Roman" w:eastAsia="Times New Roman" w:hAnsi="Times New Roman"/>
          <w:rtl w:val="0"/>
        </w:rPr>
        <w:t xml:space="preserve">many monitoring programs estimate richness of these groups</w:t>
      </w:r>
      <w:commentRangeEnd w:id="13"/>
      <w:r w:rsidDel="00000000" w:rsidR="00000000" w:rsidRPr="00000000">
        <w:commentReference w:id="13"/>
      </w:r>
      <w:commentRangeEnd w:id="14"/>
      <w:r w:rsidDel="00000000" w:rsidR="00000000" w:rsidRPr="00000000">
        <w:commentReference w:id="14"/>
      </w:r>
      <w:commentRangeEnd w:id="15"/>
      <w:r w:rsidDel="00000000" w:rsidR="00000000" w:rsidRPr="00000000">
        <w:commentReference w:id="15"/>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(Bell, 2008; Bellwood et al., 2004; Mouillot et al., 2014; Nystrom, 2006; Wulff, 2006)</w:t>
      </w:r>
      <w:r w:rsidDel="00000000" w:rsidR="00000000" w:rsidRPr="00000000">
        <w:rPr>
          <w:rFonts w:ascii="Times New Roman" w:cs="Times New Roman" w:eastAsia="Times New Roman" w:hAnsi="Times New Roman"/>
          <w:rtl w:val="0"/>
        </w:rPr>
        <w:t xml:space="preserve">. In addition, the most commonly measured features of coral reefs are hard coral cover and structural complexity (rugosity). In fact, the temporal decline of these reef features is widely documented because they are so frequently measured (Alvarez-Filip et al., 2009; Gardner et al., 2009; Habibi, Setiasih, &amp; Sartin, 2007; Stokes, Leichter, &amp; Genovese, 2010). These</w:t>
      </w:r>
      <w:r w:rsidDel="00000000" w:rsidR="00000000" w:rsidRPr="00000000">
        <w:rPr>
          <w:rtl w:val="0"/>
        </w:rPr>
        <w:t xml:space="preserve"> features </w:t>
      </w:r>
      <w:r w:rsidDel="00000000" w:rsidR="00000000" w:rsidRPr="00000000">
        <w:rPr>
          <w:rFonts w:ascii="Times New Roman" w:cs="Times New Roman" w:eastAsia="Times New Roman" w:hAnsi="Times New Roman"/>
          <w:rtl w:val="0"/>
        </w:rPr>
        <w:t xml:space="preserve">make for good candidate surrogates, as they are simple and affordable to measure, yet how effective they are at predicting richness of dominant reef organisms over long temporal scales remains unknown.</w:t>
      </w:r>
    </w:p>
    <w:p w:rsidR="00000000" w:rsidDel="00000000" w:rsidP="00000000" w:rsidRDefault="00000000" w:rsidRPr="00000000" w14:paraId="00000021">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Effectiveness of biodiversity surrogates on coral reefs </w:t>
      </w:r>
      <w:r w:rsidDel="00000000" w:rsidR="00000000" w:rsidRPr="00000000">
        <w:rPr>
          <w:rtl w:val="0"/>
        </w:rPr>
        <w:t xml:space="preserve">is</w:t>
      </w:r>
      <w:r w:rsidDel="00000000" w:rsidR="00000000" w:rsidRPr="00000000">
        <w:rPr>
          <w:rFonts w:ascii="Times New Roman" w:cs="Times New Roman" w:eastAsia="Times New Roman" w:hAnsi="Times New Roman"/>
          <w:rtl w:val="0"/>
        </w:rPr>
        <w:t xml:space="preserve"> rarely studied, especially over long temporal scales. Here, I evaluate the effectiveness of hard coral cover and rugosity as surrogates for species richness of major taxonomic groups on coral reefs over time and space. Sponge cover is also included as a candidate surrogate because sponges play a dominant role in the benthic composition of the reef and contribute to the reef’s three-dimensional structure. Specifically, I use percent hard coral cover, percent sponge cover, and rugosity as landscape feature surrogates to predict species richness of corals, fishes, sponges, and combined richness (as the sum of richness across these three groups) using 27 years of monitoring data from eight sites around Guana Island in the British Virgin Islands (Forrester et al., 2015). My first objective was to determine, for each of the four targets separately, which of these three candidate surrogates is the best predictor. My second objective was to determine if the relationships between the best candidate surrogate for each target and the corresponding target remain consistent over space and time. I expected coral cover to be the best surrogate for coral species richness because presumably, the more area covered by corals, the greater variety of microhabitats they inhabit, and the greater number of species that would be present and, similarly, that sponge cover would be the best surrogate for sponge species richness. I also expected rugosity to be the best surrogate for fish species richness as well as combined species richness because </w:t>
      </w:r>
      <w:r w:rsidDel="00000000" w:rsidR="00000000" w:rsidRPr="00000000">
        <w:rPr>
          <w:rFonts w:ascii="Times New Roman" w:cs="Times New Roman" w:eastAsia="Times New Roman" w:hAnsi="Times New Roman"/>
          <w:rtl w:val="0"/>
        </w:rPr>
        <w:t xml:space="preserve">a greater number of macrobenthic species should increase the number of coral and sponge morphological types and increase rugosity, even though these sites may be dominated by a few species </w:t>
      </w:r>
      <w:r w:rsidDel="00000000" w:rsidR="00000000" w:rsidRPr="00000000">
        <w:rPr>
          <w:rFonts w:ascii="Times New Roman" w:cs="Times New Roman" w:eastAsia="Times New Roman" w:hAnsi="Times New Roman"/>
          <w:rtl w:val="0"/>
        </w:rPr>
        <w:t xml:space="preserve">(Alvarez-Filip, Dulvy, Côteé, Watkinson, &amp; Gill, 2011)</w:t>
      </w:r>
      <w:r w:rsidDel="00000000" w:rsidR="00000000" w:rsidRPr="00000000">
        <w:rPr>
          <w:rFonts w:ascii="Times New Roman" w:cs="Times New Roman" w:eastAsia="Times New Roman" w:hAnsi="Times New Roman"/>
          <w:rtl w:val="0"/>
        </w:rPr>
        <w:t xml:space="preserve">. In addition, greater rugosity should provide a wider variety of structures that may be utilized by a greater diversity of fish species </w:t>
      </w:r>
      <w:r w:rsidDel="00000000" w:rsidR="00000000" w:rsidRPr="00000000">
        <w:rPr>
          <w:rFonts w:ascii="Times New Roman" w:cs="Times New Roman" w:eastAsia="Times New Roman" w:hAnsi="Times New Roman"/>
          <w:rtl w:val="0"/>
        </w:rPr>
        <w:t xml:space="preserve">(Darling et al., 2017; Graham et al., 2006; Gratwicke &amp; Speight, 2005; Newman et al., 2015)</w:t>
      </w:r>
      <w:r w:rsidDel="00000000" w:rsidR="00000000" w:rsidRPr="00000000">
        <w:rPr>
          <w:rFonts w:ascii="Times New Roman" w:cs="Times New Roman" w:eastAsia="Times New Roman" w:hAnsi="Times New Roman"/>
          <w:rtl w:val="0"/>
        </w:rPr>
        <w:t xml:space="preserve"> and different fish species utilize the structure of the reef </w:t>
      </w:r>
      <w:r w:rsidDel="00000000" w:rsidR="00000000" w:rsidRPr="00000000">
        <w:rPr>
          <w:rFonts w:ascii="Times New Roman" w:cs="Times New Roman" w:eastAsia="Times New Roman" w:hAnsi="Times New Roman"/>
          <w:rtl w:val="0"/>
        </w:rPr>
        <w:t xml:space="preserve">when coral is alive versus when it’s dead </w:t>
      </w:r>
      <w:r w:rsidDel="00000000" w:rsidR="00000000" w:rsidRPr="00000000">
        <w:rPr>
          <w:rFonts w:ascii="Times New Roman" w:cs="Times New Roman" w:eastAsia="Times New Roman" w:hAnsi="Times New Roman"/>
          <w:rtl w:val="0"/>
        </w:rPr>
        <w:t xml:space="preserve">(Wilson, Graham, Pratchett, Jones, &amp; Polunin, 2006).</w:t>
      </w:r>
      <w:r w:rsidDel="00000000" w:rsidR="00000000" w:rsidRPr="00000000">
        <w:br w:type="page"/>
      </w:r>
      <w:r w:rsidDel="00000000" w:rsidR="00000000" w:rsidRPr="00000000">
        <w:rPr>
          <w:rtl w:val="0"/>
        </w:rPr>
      </w:r>
    </w:p>
    <w:p w:rsidR="00000000" w:rsidDel="00000000" w:rsidP="00000000" w:rsidRDefault="00000000" w:rsidRPr="00000000" w14:paraId="00000022">
      <w:pPr>
        <w:spacing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Material and Methods</w:t>
      </w:r>
    </w:p>
    <w:p w:rsidR="00000000" w:rsidDel="00000000" w:rsidP="00000000" w:rsidRDefault="00000000" w:rsidRPr="00000000" w14:paraId="00000023">
      <w:pPr>
        <w:pStyle w:val="Heading2"/>
        <w:rPr/>
      </w:pPr>
      <w:r w:rsidDel="00000000" w:rsidR="00000000" w:rsidRPr="00000000">
        <w:rPr>
          <w:rtl w:val="0"/>
        </w:rPr>
        <w:t xml:space="preserve">Field study design</w:t>
      </w:r>
    </w:p>
    <w:p w:rsidR="00000000" w:rsidDel="00000000" w:rsidP="00000000" w:rsidRDefault="00000000" w:rsidRPr="00000000" w14:paraId="00000024">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used data collected as part of an ongoing monitoring program at eight sites around Guana Island in the British Virgin Islands (Fig. 1</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Forrester et al., 2015) . All sites were similar in covering 0.6-1.0 hectares of fringing coral reef adjacent to the island at a depth of 9-10 m. Sites varied in exposure to prevailing weather; sites on the windward north side of the island are more exposed than those on the southern leeward side (Fig. 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Corals, fishes, and rugosity were sampled annually between June and August from 1992-2018, but sponges were not sampled in all years (no counts in 1992, 1996-1999, 2004, 1993 at Crab Cove, 2014 at Pelican Ghut, and 2017 at Bigelow Beach and Pelican Ghut). All surveys were </w:t>
      </w:r>
      <w:r w:rsidDel="00000000" w:rsidR="00000000" w:rsidRPr="00000000">
        <w:rPr>
          <w:rtl w:val="0"/>
        </w:rPr>
        <w:t xml:space="preserve">performed</w:t>
      </w:r>
      <w:r w:rsidDel="00000000" w:rsidR="00000000" w:rsidRPr="00000000">
        <w:rPr>
          <w:rFonts w:ascii="Times New Roman" w:cs="Times New Roman" w:eastAsia="Times New Roman" w:hAnsi="Times New Roman"/>
          <w:rtl w:val="0"/>
        </w:rPr>
        <w:t xml:space="preserve"> using 30-m transects, placed at</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haphazardly selected locations within each site. The number of transects sampled per site varied among years (n = 3-22) but, for this study, three transects per site per year were selected at random for use in the analysis.</w:t>
      </w:r>
    </w:p>
    <w:p w:rsidR="00000000" w:rsidDel="00000000" w:rsidP="00000000" w:rsidRDefault="00000000" w:rsidRPr="00000000" w14:paraId="00000025">
      <w:pPr>
        <w:pStyle w:val="Heading2"/>
        <w:rPr/>
      </w:pPr>
      <w:bookmarkStart w:colFirst="0" w:colLast="0" w:name="_fwntfdganz29" w:id="2"/>
      <w:bookmarkEnd w:id="2"/>
      <w:r w:rsidDel="00000000" w:rsidR="00000000" w:rsidRPr="00000000">
        <w:rPr>
          <w:rtl w:val="0"/>
        </w:rPr>
        <w:t xml:space="preserve">Survey methods</w:t>
      </w:r>
    </w:p>
    <w:p w:rsidR="00000000" w:rsidDel="00000000" w:rsidP="00000000" w:rsidRDefault="00000000" w:rsidRPr="00000000" w14:paraId="00000026">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r w:rsidDel="00000000" w:rsidR="00000000" w:rsidRPr="00000000">
        <w:rPr>
          <w:rFonts w:ascii="Times New Roman" w:cs="Times New Roman" w:eastAsia="Times New Roman" w:hAnsi="Times New Roman"/>
          <w:rtl w:val="0"/>
        </w:rPr>
        <w:t xml:space="preserve">orals, sponges, fishes, and rugosity were sampled using well-established visual survey methods. </w:t>
      </w:r>
    </w:p>
    <w:p w:rsidR="00000000" w:rsidDel="00000000" w:rsidP="00000000" w:rsidRDefault="00000000" w:rsidRPr="00000000" w14:paraId="00000027">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Fishes were counted within a belt transect 30 m long x 1.5 m wide, and a T-shaped bar was used to determine the transect width as the diver swam along the transect line. Fish counts were restricted to species that are amenable to visual survey; that is, day-active species that are relatively site-attached and reliably visible to divers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Willis, 2001</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Nocturnal species, highly mobile groups such as mackerels (Scombridae) and jacks (Carangidae) that are transient visitors to the sites, and small cryptic groups like gobies (Gobiidae) and blennies (Blennioidei) that often hide in crevices were not surveyed. Newly recruited juvenile fishes (&lt; 1 month on the reef) were also excluded because their abundance is affected by lunar cycles, which complicates the detection of long-term trends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Robertson, 1992</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Because fish were the only mobile organisms surveyed, the fish survey was conducted first for each transect in order to reduce the bias caused by divers disturbing the fish (Emslie, Cheal, MacNeil, Miller, &amp; Sweatman, 2018). </w:t>
      </w:r>
    </w:p>
    <w:p w:rsidR="00000000" w:rsidDel="00000000" w:rsidP="00000000" w:rsidRDefault="00000000" w:rsidRPr="00000000" w14:paraId="00000028">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Corals and other benthic taxa were surveyed using the linear point-intercept method, wherein a diver swam along the tape and identified the taxon under the tape at 0.25 m intervals (n = 120 points per transect</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Canfield, </w:t>
      </w:r>
      <w:r w:rsidDel="00000000" w:rsidR="00000000" w:rsidRPr="00000000">
        <w:rPr>
          <w:rFonts w:ascii="Times New Roman" w:cs="Times New Roman" w:eastAsia="Times New Roman" w:hAnsi="Times New Roman"/>
          <w:rtl w:val="0"/>
        </w:rPr>
        <w:t xml:space="preserve">1941</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Corals encountered were identified to species, where possible, but other taxa (including sponges) were classified into broader groupings. The point-intercept data was thus used to estimate coral species richness </w:t>
      </w:r>
      <w:r w:rsidDel="00000000" w:rsidR="00000000" w:rsidRPr="00000000">
        <w:rPr>
          <w:rtl w:val="0"/>
        </w:rPr>
        <w:t xml:space="preserve">as well a</w:t>
      </w:r>
      <w:r w:rsidDel="00000000" w:rsidR="00000000" w:rsidRPr="00000000">
        <w:rPr>
          <w:rFonts w:ascii="Times New Roman" w:cs="Times New Roman" w:eastAsia="Times New Roman" w:hAnsi="Times New Roman"/>
          <w:rtl w:val="0"/>
        </w:rPr>
        <w:t xml:space="preserve">s the total abundance (% cover) of hard corals and sponges (Almada-Villela, Sale, Gold-Bouchot, &amp; Kjerfve, 2003). </w:t>
      </w:r>
    </w:p>
    <w:p w:rsidR="00000000" w:rsidDel="00000000" w:rsidP="00000000" w:rsidRDefault="00000000" w:rsidRPr="00000000" w14:paraId="00000029">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estimate sponge species richness, sponges were surveyed using a line intercept method in which any sponge that intercepted the transect was recorded and identified to species, where possible.</w:t>
      </w:r>
    </w:p>
    <w:p w:rsidR="00000000" w:rsidDel="00000000" w:rsidP="00000000" w:rsidRDefault="00000000" w:rsidRPr="00000000" w14:paraId="0000002A">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Rugosity was measured as a proxy for three-dimensional structural complexity using the consecutive height difference </w:t>
      </w:r>
      <w:r w:rsidDel="00000000" w:rsidR="00000000" w:rsidRPr="00000000">
        <w:rPr>
          <w:rFonts w:ascii="Times New Roman" w:cs="Times New Roman" w:eastAsia="Times New Roman" w:hAnsi="Times New Roman"/>
          <w:rtl w:val="0"/>
        </w:rPr>
        <w:t xml:space="preserve">method</w:t>
      </w:r>
      <w:r w:rsidDel="00000000" w:rsidR="00000000" w:rsidRPr="00000000">
        <w:rPr>
          <w:rFonts w:ascii="Times New Roman" w:cs="Times New Roman" w:eastAsia="Times New Roman" w:hAnsi="Times New Roman"/>
          <w:rtl w:val="0"/>
        </w:rPr>
        <w:t xml:space="preserve"> (McCormick, 1994), where a diver records the difference between the height of the transect tape and the substrate at 1 m intervals along the first 10 m of each transect. Rugosity (in cm) is calculated as the square root of the sum of the squared differences between successive height measurements, and so a value of 0 is flat and vertical complexity increases as the rugosity value increases.</w:t>
      </w:r>
    </w:p>
    <w:p w:rsidR="00000000" w:rsidDel="00000000" w:rsidP="00000000" w:rsidRDefault="00000000" w:rsidRPr="00000000" w14:paraId="0000002B">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minimize bias introduced by using multiple observers, fish counts and sponge counts were each made by a single expert observer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Thompson, 1997; Bernard, 2013</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though both observers compared their counts and species identifications to those of another expert one year (data not shown). Coral data were collected by three observers, but new observers’ species identifications and counts were calibrated with those of another observer during a training period of at least 15 dives before their data were incorporated into the study.</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t xml:space="preserve">Identifying taxa to species is not always possible or practical in field surveys, and fish, corals and sponges were identified to the most specific taxonomic group practical (</w:t>
      </w:r>
      <w:commentRangeStart w:id="16"/>
      <w:commentRangeStart w:id="17"/>
      <w:commentRangeStart w:id="18"/>
      <w:commentRangeStart w:id="19"/>
      <w:r w:rsidDel="00000000" w:rsidR="00000000" w:rsidRPr="00000000">
        <w:rPr>
          <w:rtl w:val="0"/>
        </w:rPr>
        <w:t xml:space="preserve">Appendix 1</w:t>
      </w:r>
      <w:commentRangeEnd w:id="16"/>
      <w:r w:rsidDel="00000000" w:rsidR="00000000" w:rsidRPr="00000000">
        <w:commentReference w:id="16"/>
      </w:r>
      <w:commentRangeEnd w:id="17"/>
      <w:r w:rsidDel="00000000" w:rsidR="00000000" w:rsidRPr="00000000">
        <w:commentReference w:id="17"/>
      </w:r>
      <w:commentRangeEnd w:id="18"/>
      <w:r w:rsidDel="00000000" w:rsidR="00000000" w:rsidRPr="00000000">
        <w:commentReference w:id="18"/>
      </w:r>
      <w:commentRangeEnd w:id="19"/>
      <w:r w:rsidDel="00000000" w:rsidR="00000000" w:rsidRPr="00000000">
        <w:commentReference w:id="19"/>
      </w:r>
      <w:r w:rsidDel="00000000" w:rsidR="00000000" w:rsidRPr="00000000">
        <w:rPr>
          <w:rtl w:val="0"/>
        </w:rPr>
        <w:t xml:space="preserve">). All fish were identified to species, while corals and sponges were sometimes identified as multi-species recognizable taxonomic units (D. Ward &amp; Stanley, 2004), or RTU’s, for the following reasons: (1) taxonomists reassigned taxa thought to be different species to the same species after the study began, (2) taxonomists divided a single species into multiple species after the study began, and (3) several species are visually indistinguishable in the field. In all cases, the lowest resolution RTU was used, and for simplicity </w:t>
      </w:r>
      <w:r w:rsidDel="00000000" w:rsidR="00000000" w:rsidRPr="00000000">
        <w:rPr>
          <w:rtl w:val="0"/>
        </w:rPr>
        <w:t xml:space="preserve">RTU’s are referred to as “species” </w:t>
      </w:r>
      <w:r w:rsidDel="00000000" w:rsidR="00000000" w:rsidRPr="00000000">
        <w:rPr>
          <w:rtl w:val="0"/>
        </w:rPr>
        <w:t xml:space="preserve">hereafter. I suggest that the use of RTU’s, although it affects estimates of absolute species richness, should not alter the outcome of the analysis.</w:t>
      </w:r>
      <w:r w:rsidDel="00000000" w:rsidR="00000000" w:rsidRPr="00000000">
        <w:rPr>
          <w:rtl w:val="0"/>
        </w:rPr>
      </w:r>
    </w:p>
    <w:p w:rsidR="00000000" w:rsidDel="00000000" w:rsidP="00000000" w:rsidRDefault="00000000" w:rsidRPr="00000000" w14:paraId="0000002D">
      <w:pPr>
        <w:pStyle w:val="Heading2"/>
        <w:rPr/>
      </w:pPr>
      <w:bookmarkStart w:colFirst="0" w:colLast="0" w:name="_j2rsg1phwf4n" w:id="3"/>
      <w:bookmarkEnd w:id="3"/>
      <w:r w:rsidDel="00000000" w:rsidR="00000000" w:rsidRPr="00000000">
        <w:rPr>
          <w:rtl w:val="0"/>
        </w:rPr>
        <w:t xml:space="preserve">Statistical Analysis</w:t>
      </w:r>
      <w:r w:rsidDel="00000000" w:rsidR="00000000" w:rsidRPr="00000000">
        <w:rPr>
          <w:rtl w:val="0"/>
        </w:rPr>
      </w:r>
    </w:p>
    <w:p w:rsidR="00000000" w:rsidDel="00000000" w:rsidP="00000000" w:rsidRDefault="00000000" w:rsidRPr="00000000" w14:paraId="0000002E">
      <w:pPr>
        <w:pStyle w:val="Heading2"/>
        <w:ind w:firstLine="720"/>
        <w:rPr/>
      </w:pPr>
      <w:r w:rsidDel="00000000" w:rsidR="00000000" w:rsidRPr="00000000">
        <w:rPr>
          <w:i w:val="0"/>
          <w:rtl w:val="0"/>
        </w:rPr>
        <w:t xml:space="preserve">We used sites as replicates because they represent spatial units of relevance from both ecological and management perspectives. For surrogates (coral cover, sponge cover, and rugosity), replicates were thus means for the 3 randomly-selected transects per site per year. To estimate species richness, we pooled the same 3 randomly-selected transects for each year and site and calculated the total number of fish, coral and sponge species observed. Species richness is hereafter called c</w:t>
      </w:r>
      <w:r w:rsidDel="00000000" w:rsidR="00000000" w:rsidRPr="00000000">
        <w:rPr>
          <w:i w:val="0"/>
          <w:rtl w:val="0"/>
        </w:rPr>
        <w:t xml:space="preserve">ombined richness, and was only calculated for sites and years for which richness of all three taxonomic groups was available.</w:t>
      </w:r>
      <w:r w:rsidDel="00000000" w:rsidR="00000000" w:rsidRPr="00000000">
        <w:rPr>
          <w:rtl w:val="0"/>
        </w:rPr>
      </w:r>
    </w:p>
    <w:p w:rsidR="00000000" w:rsidDel="00000000" w:rsidP="00000000" w:rsidRDefault="00000000" w:rsidRPr="00000000" w14:paraId="0000002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first principles, we used negative binomial regression using the ‘MASS’ package to model richness because it is a count variable (Venables &amp; Ripley, 2002). All models, therefore, have an additional parameter, theta, that accounts for </w:t>
      </w:r>
      <w:commentRangeStart w:id="20"/>
      <w:r w:rsidDel="00000000" w:rsidR="00000000" w:rsidRPr="00000000">
        <w:rPr>
          <w:rFonts w:ascii="Times New Roman" w:cs="Times New Roman" w:eastAsia="Times New Roman" w:hAnsi="Times New Roman"/>
          <w:rtl w:val="0"/>
        </w:rPr>
        <w:t xml:space="preserve">overdispersion.</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30">
      <w:pPr>
        <w:spacing w:line="480" w:lineRule="auto"/>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To determine which of the candidate surrogates is best at predicting each of the targets, we used </w:t>
      </w:r>
      <w:r w:rsidDel="00000000" w:rsidR="00000000" w:rsidRPr="00000000">
        <w:rPr>
          <w:rFonts w:ascii="Times New Roman" w:cs="Times New Roman" w:eastAsia="Times New Roman" w:hAnsi="Times New Roman"/>
          <w:highlight w:val="white"/>
          <w:rtl w:val="0"/>
        </w:rPr>
        <w:t xml:space="preserve">simple models </w:t>
      </w:r>
      <w:r w:rsidDel="00000000" w:rsidR="00000000" w:rsidRPr="00000000">
        <w:rPr>
          <w:rFonts w:ascii="Times New Roman" w:cs="Times New Roman" w:eastAsia="Times New Roman" w:hAnsi="Times New Roman"/>
          <w:highlight w:val="white"/>
          <w:rtl w:val="0"/>
        </w:rPr>
        <w:t xml:space="preserve">with only the </w:t>
      </w:r>
      <w:r w:rsidDel="00000000" w:rsidR="00000000" w:rsidRPr="00000000">
        <w:rPr>
          <w:rFonts w:ascii="Times New Roman" w:cs="Times New Roman" w:eastAsia="Times New Roman" w:hAnsi="Times New Roman"/>
          <w:rtl w:val="0"/>
        </w:rPr>
        <w:t xml:space="preserve">candidate </w:t>
      </w:r>
      <w:r w:rsidDel="00000000" w:rsidR="00000000" w:rsidRPr="00000000">
        <w:rPr>
          <w:rFonts w:ascii="Times New Roman" w:cs="Times New Roman" w:eastAsia="Times New Roman" w:hAnsi="Times New Roman"/>
          <w:highlight w:val="white"/>
          <w:rtl w:val="0"/>
        </w:rPr>
        <w:t xml:space="preserve">surrogates as predictors. We then compared these simple, surrogate-only models using Akaike Information Criterion corrected for small sample sizes (</w:t>
      </w:r>
      <w:r w:rsidDel="00000000" w:rsidR="00000000" w:rsidRPr="00000000">
        <w:rPr>
          <w:rFonts w:ascii="Times New Roman" w:cs="Times New Roman" w:eastAsia="Times New Roman" w:hAnsi="Times New Roman"/>
          <w:highlight w:val="white"/>
          <w:rtl w:val="0"/>
        </w:rPr>
        <w:t xml:space="preserve">AIC</w:t>
      </w:r>
      <w:r w:rsidDel="00000000" w:rsidR="00000000" w:rsidRPr="00000000">
        <w:rPr>
          <w:rFonts w:ascii="Times New Roman" w:cs="Times New Roman" w:eastAsia="Times New Roman" w:hAnsi="Times New Roman"/>
          <w:highlight w:val="white"/>
          <w:rtl w:val="0"/>
        </w:rPr>
        <w:t xml:space="preserve">c; Mazerolle, 2019). AICc </w:t>
      </w:r>
      <w:r w:rsidDel="00000000" w:rsidR="00000000" w:rsidRPr="00000000">
        <w:rPr>
          <w:highlight w:val="white"/>
          <w:rtl w:val="0"/>
        </w:rPr>
        <w:t xml:space="preserve">results provide a measure of parsimony in that they can be used to identify models with the fewest parameters and the greatest explanatory ability relative to other models in the model set. </w:t>
      </w:r>
      <w:r w:rsidDel="00000000" w:rsidR="00000000" w:rsidRPr="00000000">
        <w:rPr>
          <w:rFonts w:ascii="Times New Roman" w:cs="Times New Roman" w:eastAsia="Times New Roman" w:hAnsi="Times New Roman"/>
          <w:highlight w:val="white"/>
          <w:rtl w:val="0"/>
        </w:rPr>
        <w:t xml:space="preserve">Top models were tho</w:t>
      </w:r>
      <w:r w:rsidDel="00000000" w:rsidR="00000000" w:rsidRPr="00000000">
        <w:rPr>
          <w:rFonts w:ascii="Gungsuh" w:cs="Gungsuh" w:eastAsia="Gungsuh" w:hAnsi="Gungsuh"/>
          <w:highlight w:val="white"/>
          <w:rtl w:val="0"/>
        </w:rPr>
        <w:t xml:space="preserve">se with delta AICc ≤ 2 and AICc weights </w:t>
      </w:r>
      <w:commentRangeStart w:id="21"/>
      <w:r w:rsidDel="00000000" w:rsidR="00000000" w:rsidRPr="00000000">
        <w:rPr>
          <w:highlight w:val="white"/>
          <w:rtl w:val="0"/>
        </w:rPr>
        <w:t xml:space="preserve">&gt; 50%</w:t>
      </w:r>
      <w:commentRangeEnd w:id="21"/>
      <w:r w:rsidDel="00000000" w:rsidR="00000000" w:rsidRPr="00000000">
        <w:commentReference w:id="21"/>
      </w:r>
      <w:r w:rsidDel="00000000" w:rsidR="00000000" w:rsidRPr="00000000">
        <w:rPr>
          <w:highlight w:val="white"/>
          <w:rtl w:val="0"/>
        </w:rPr>
        <w:t xml:space="preserve">. Nagelkerke’s pseudo-r-squared values were also used for model interpretation by providing a measure of goodness-of-fit in that they can be used to compare how much each surrogate improves the ability to predict a given target. Pseudo-r-squared was used instead of traditional r-squared because the negative binomial distribution was used. Nagelkerke’s pseudo-r-squared was used instead of similar values because it is more interpretable (ranges from 0-1) and is used to evaluate the improvement from a null to a fitted model. Only t</w:t>
      </w:r>
      <w:r w:rsidDel="00000000" w:rsidR="00000000" w:rsidRPr="00000000">
        <w:rPr>
          <w:rFonts w:ascii="Times New Roman" w:cs="Times New Roman" w:eastAsia="Times New Roman" w:hAnsi="Times New Roman"/>
          <w:highlight w:val="white"/>
          <w:rtl w:val="0"/>
        </w:rPr>
        <w:t xml:space="preserve">he top </w:t>
      </w:r>
      <w:r w:rsidDel="00000000" w:rsidR="00000000" w:rsidRPr="00000000">
        <w:rPr>
          <w:rFonts w:ascii="Times New Roman" w:cs="Times New Roman" w:eastAsia="Times New Roman" w:hAnsi="Times New Roman"/>
          <w:rtl w:val="0"/>
        </w:rPr>
        <w:t xml:space="preserve">candidate </w:t>
      </w:r>
      <w:r w:rsidDel="00000000" w:rsidR="00000000" w:rsidRPr="00000000">
        <w:rPr>
          <w:rFonts w:ascii="Times New Roman" w:cs="Times New Roman" w:eastAsia="Times New Roman" w:hAnsi="Times New Roman"/>
          <w:highlight w:val="white"/>
          <w:rtl w:val="0"/>
        </w:rPr>
        <w:t xml:space="preserve">surrogate identified for each target from this comparison was used for </w:t>
      </w:r>
      <w:r w:rsidDel="00000000" w:rsidR="00000000" w:rsidRPr="00000000">
        <w:rPr>
          <w:highlight w:val="white"/>
          <w:rtl w:val="0"/>
        </w:rPr>
        <w:t xml:space="preserve">subsequent</w:t>
      </w:r>
      <w:r w:rsidDel="00000000" w:rsidR="00000000" w:rsidRPr="00000000">
        <w:rPr>
          <w:rFonts w:ascii="Times New Roman" w:cs="Times New Roman" w:eastAsia="Times New Roman" w:hAnsi="Times New Roman"/>
          <w:highlight w:val="white"/>
          <w:rtl w:val="0"/>
        </w:rPr>
        <w:t xml:space="preserve"> </w:t>
      </w:r>
      <w:commentRangeStart w:id="22"/>
      <w:commentRangeStart w:id="23"/>
      <w:r w:rsidDel="00000000" w:rsidR="00000000" w:rsidRPr="00000000">
        <w:rPr>
          <w:rFonts w:ascii="Times New Roman" w:cs="Times New Roman" w:eastAsia="Times New Roman" w:hAnsi="Times New Roman"/>
          <w:highlight w:val="white"/>
          <w:rtl w:val="0"/>
        </w:rPr>
        <w:t xml:space="preserve">model</w:t>
      </w:r>
      <w:commentRangeEnd w:id="22"/>
      <w:r w:rsidDel="00000000" w:rsidR="00000000" w:rsidRPr="00000000">
        <w:commentReference w:id="22"/>
      </w:r>
      <w:commentRangeEnd w:id="23"/>
      <w:r w:rsidDel="00000000" w:rsidR="00000000" w:rsidRPr="00000000">
        <w:commentReference w:id="23"/>
      </w:r>
      <w:r w:rsidDel="00000000" w:rsidR="00000000" w:rsidRPr="00000000">
        <w:rPr>
          <w:highlight w:val="white"/>
          <w:rtl w:val="0"/>
        </w:rPr>
        <w:t xml:space="preserve">ing</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31">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To determine if relationships between </w:t>
      </w:r>
      <w:r w:rsidDel="00000000" w:rsidR="00000000" w:rsidRPr="00000000">
        <w:rPr>
          <w:highlight w:val="white"/>
          <w:rtl w:val="0"/>
        </w:rPr>
        <w:t xml:space="preserve">top candidate surrogates</w:t>
      </w:r>
      <w:r w:rsidDel="00000000" w:rsidR="00000000" w:rsidRPr="00000000">
        <w:rPr>
          <w:rFonts w:ascii="Times New Roman" w:cs="Times New Roman" w:eastAsia="Times New Roman" w:hAnsi="Times New Roman"/>
          <w:highlight w:val="white"/>
          <w:rtl w:val="0"/>
        </w:rPr>
        <w:t xml:space="preserve"> and the </w:t>
      </w:r>
      <w:r w:rsidDel="00000000" w:rsidR="00000000" w:rsidRPr="00000000">
        <w:rPr>
          <w:highlight w:val="white"/>
          <w:rtl w:val="0"/>
        </w:rPr>
        <w:t xml:space="preserve">targets</w:t>
      </w:r>
      <w:r w:rsidDel="00000000" w:rsidR="00000000" w:rsidRPr="00000000">
        <w:rPr>
          <w:rFonts w:ascii="Times New Roman" w:cs="Times New Roman" w:eastAsia="Times New Roman" w:hAnsi="Times New Roman"/>
          <w:highlight w:val="white"/>
          <w:rtl w:val="0"/>
        </w:rPr>
        <w:t xml:space="preserve"> remain consistent over space and time, we added additional terms to the surrogate-only models to account for temporal variation and variation across sites. </w:t>
      </w:r>
      <w:r w:rsidDel="00000000" w:rsidR="00000000" w:rsidRPr="00000000">
        <w:rPr>
          <w:rFonts w:ascii="Times New Roman" w:cs="Times New Roman" w:eastAsia="Times New Roman" w:hAnsi="Times New Roman"/>
          <w:rtl w:val="0"/>
        </w:rPr>
        <w:t xml:space="preserve">Site is a categorical predictor of the 8 locations around Guana Island and year is a temporal trend across all sites within similar areas over the 27 </w:t>
      </w:r>
      <w:commentRangeStart w:id="24"/>
      <w:r w:rsidDel="00000000" w:rsidR="00000000" w:rsidRPr="00000000">
        <w:rPr>
          <w:rFonts w:ascii="Times New Roman" w:cs="Times New Roman" w:eastAsia="Times New Roman" w:hAnsi="Times New Roman"/>
          <w:rtl w:val="0"/>
        </w:rPr>
        <w:t xml:space="preserve">years</w:t>
      </w:r>
      <w:commentRangeEnd w:id="24"/>
      <w:r w:rsidDel="00000000" w:rsidR="00000000" w:rsidRPr="00000000">
        <w:commentReference w:id="24"/>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 For each of the targets (dependent variables), surrogate-only models were compared using AICc to models with additional terms for year, site, and year plus site to determine if there’s unexplained variation in the data over time, across sites, or over time and across sites that cannot be accounted for by the surrogate alone. For example, the model with the top candidate surrogate and year would mean that the candidate surrogate maintained a correlation with the target over space, but that there was still some variation over time that could not be accounted for by the surrogate alone. This might make it good at predicting the target across nearby sites that were monitored in the same time frame. Similarly, the model with the top candidate surrogate, year, and site would mean the candidate surrogate maintained a correlation with the target over time, but that there was still some variation over space and time that could not be accounted for by the surrogate alone. Assuming the surrogate coefficient is significant, this means the surrogate might correlate with the target, but that site and time must be accounted for, thus defeating the purpose of using the surrogate in a predictive capacity over space and time, but can still be used to estimate the target. These additive models were also compared to models with interactive terms for the surrogate with year and the surrogate with site. These interactive models would suggest that the relationship between the target and the top candidate surrogate changes over time or across sites. Again, t</w:t>
      </w:r>
      <w:r w:rsidDel="00000000" w:rsidR="00000000" w:rsidRPr="00000000">
        <w:rPr>
          <w:rFonts w:ascii="Gungsuh" w:cs="Gungsuh" w:eastAsia="Gungsuh" w:hAnsi="Gungsuh"/>
          <w:highlight w:val="white"/>
          <w:rtl w:val="0"/>
        </w:rPr>
        <w:t xml:space="preserve">op models were those with delta AICc ≤ 2 and AICc weights </w:t>
      </w:r>
      <w:commentRangeStart w:id="25"/>
      <w:r w:rsidDel="00000000" w:rsidR="00000000" w:rsidRPr="00000000">
        <w:rPr>
          <w:highlight w:val="white"/>
          <w:rtl w:val="0"/>
        </w:rPr>
        <w:t xml:space="preserve">&gt; 50%</w:t>
      </w:r>
      <w:commentRangeEnd w:id="25"/>
      <w:r w:rsidDel="00000000" w:rsidR="00000000" w:rsidRPr="00000000">
        <w:commentReference w:id="25"/>
      </w:r>
      <w:r w:rsidDel="00000000" w:rsidR="00000000" w:rsidRPr="00000000">
        <w:rPr>
          <w:highlight w:val="white"/>
          <w:rtl w:val="0"/>
        </w:rPr>
        <w:t xml:space="preserve">. Nagelkerke’s pseudo-r-squared values were also used for additional model support.</w:t>
      </w:r>
      <w:r w:rsidDel="00000000" w:rsidR="00000000" w:rsidRPr="00000000">
        <w:rPr>
          <w:rtl w:val="0"/>
        </w:rPr>
      </w:r>
    </w:p>
    <w:p w:rsidR="00000000" w:rsidDel="00000000" w:rsidP="00000000" w:rsidRDefault="00000000" w:rsidRPr="00000000" w14:paraId="00000032">
      <w:pPr>
        <w:spacing w:line="480" w:lineRule="auto"/>
        <w:ind w:firstLine="720"/>
        <w:rPr>
          <w:highlight w:val="white"/>
        </w:rPr>
      </w:pPr>
      <w:r w:rsidDel="00000000" w:rsidR="00000000" w:rsidRPr="00000000">
        <w:rPr>
          <w:rFonts w:ascii="Times New Roman" w:cs="Times New Roman" w:eastAsia="Times New Roman" w:hAnsi="Times New Roman"/>
          <w:highlight w:val="white"/>
          <w:rtl w:val="0"/>
        </w:rPr>
        <w:t xml:space="preserve">We </w:t>
      </w:r>
      <w:r w:rsidDel="00000000" w:rsidR="00000000" w:rsidRPr="00000000">
        <w:rPr>
          <w:highlight w:val="white"/>
          <w:rtl w:val="0"/>
        </w:rPr>
        <w:t xml:space="preserve">did not consider more complex models for this study</w:t>
      </w:r>
      <w:r w:rsidDel="00000000" w:rsidR="00000000" w:rsidRPr="00000000">
        <w:rPr>
          <w:rFonts w:ascii="Times New Roman" w:cs="Times New Roman" w:eastAsia="Times New Roman" w:hAnsi="Times New Roman"/>
          <w:highlight w:val="white"/>
          <w:rtl w:val="0"/>
        </w:rPr>
        <w:t xml:space="preserve"> because, if more complex models were supported, the relationship between the candidate surrogate and the target would not be valuable for monitoring </w:t>
      </w:r>
      <w:r w:rsidDel="00000000" w:rsidR="00000000" w:rsidRPr="00000000">
        <w:rPr>
          <w:rFonts w:ascii="Times New Roman" w:cs="Times New Roman" w:eastAsia="Times New Roman" w:hAnsi="Times New Roman"/>
          <w:highlight w:val="white"/>
          <w:rtl w:val="0"/>
        </w:rPr>
        <w:t xml:space="preserve">purposes</w:t>
      </w:r>
      <w:r w:rsidDel="00000000" w:rsidR="00000000" w:rsidRPr="00000000">
        <w:rPr>
          <w:rFonts w:ascii="Times New Roman" w:cs="Times New Roman" w:eastAsia="Times New Roman" w:hAnsi="Times New Roman"/>
          <w:highlight w:val="white"/>
          <w:rtl w:val="0"/>
        </w:rPr>
        <w:t xml:space="preserve">. In other words, the ecological interpretation of these more complex models would be complicated enough that there would be no clear relationship between the candidate surrogate and the target, suggesting that the candidate</w:t>
      </w:r>
      <w:r w:rsidDel="00000000" w:rsidR="00000000" w:rsidRPr="00000000">
        <w:rPr>
          <w:highlight w:val="white"/>
          <w:rtl w:val="0"/>
        </w:rPr>
        <w:t xml:space="preserve"> surrogates do not provide the benefits of a good surrogate</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tl w:val="0"/>
        </w:rPr>
      </w:r>
    </w:p>
    <w:p w:rsidR="00000000" w:rsidDel="00000000" w:rsidP="00000000" w:rsidRDefault="00000000" w:rsidRPr="00000000" w14:paraId="00000033">
      <w:pPr>
        <w:spacing w:line="480" w:lineRule="auto"/>
        <w:ind w:firstLine="720"/>
        <w:rPr>
          <w:rFonts w:ascii="Times New Roman" w:cs="Times New Roman" w:eastAsia="Times New Roman" w:hAnsi="Times New Roman"/>
        </w:rPr>
      </w:pPr>
      <w:r w:rsidDel="00000000" w:rsidR="00000000" w:rsidRPr="00000000">
        <w:rPr>
          <w:rtl w:val="0"/>
        </w:rPr>
        <w:t xml:space="preserve">To supplement the primary analysis, w</w:t>
      </w:r>
      <w:r w:rsidDel="00000000" w:rsidR="00000000" w:rsidRPr="00000000">
        <w:rPr>
          <w:rFonts w:ascii="Times New Roman" w:cs="Times New Roman" w:eastAsia="Times New Roman" w:hAnsi="Times New Roman"/>
          <w:rtl w:val="0"/>
        </w:rPr>
        <w:t xml:space="preserve">e conducted a full exploratory analysis for each of the four targets that includes the models described above for all three candidate surrogates</w:t>
      </w:r>
      <w:r w:rsidDel="00000000" w:rsidR="00000000" w:rsidRPr="00000000">
        <w:rPr>
          <w:rtl w:val="0"/>
        </w:rPr>
        <w:t xml:space="preserve"> as well as </w:t>
      </w:r>
      <w:r w:rsidDel="00000000" w:rsidR="00000000" w:rsidRPr="00000000">
        <w:rPr>
          <w:highlight w:val="white"/>
          <w:rtl w:val="0"/>
        </w:rPr>
        <w:t xml:space="preserve">models without candidate surrogates to evaluate how much the candidate surrogates were contributing to the models described above (Appendices 2-5)</w:t>
      </w:r>
      <w:commentRangeStart w:id="26"/>
      <w:commentRangeStart w:id="27"/>
      <w:r w:rsidDel="00000000" w:rsidR="00000000" w:rsidRPr="00000000">
        <w:rPr>
          <w:rFonts w:ascii="Times New Roman" w:cs="Times New Roman" w:eastAsia="Times New Roman" w:hAnsi="Times New Roman"/>
          <w:highlight w:val="white"/>
          <w:rtl w:val="0"/>
        </w:rPr>
        <w:t xml:space="preserve">.</w:t>
      </w:r>
      <w:commentRangeEnd w:id="26"/>
      <w:r w:rsidDel="00000000" w:rsidR="00000000" w:rsidRPr="00000000">
        <w:commentReference w:id="26"/>
      </w:r>
      <w:commentRangeEnd w:id="27"/>
      <w:r w:rsidDel="00000000" w:rsidR="00000000" w:rsidRPr="00000000">
        <w:commentReference w:id="27"/>
      </w:r>
      <w:r w:rsidDel="00000000" w:rsidR="00000000" w:rsidRPr="00000000">
        <w:rPr>
          <w:rFonts w:ascii="Times New Roman" w:cs="Times New Roman" w:eastAsia="Times New Roman" w:hAnsi="Times New Roman"/>
          <w:rtl w:val="0"/>
        </w:rPr>
        <w:t xml:space="preserve"> All data management and analysis was </w:t>
      </w:r>
      <w:r w:rsidDel="00000000" w:rsidR="00000000" w:rsidRPr="00000000">
        <w:rPr>
          <w:rFonts w:ascii="Times New Roman" w:cs="Times New Roman" w:eastAsia="Times New Roman" w:hAnsi="Times New Roman"/>
          <w:rtl w:val="0"/>
        </w:rPr>
        <w:t xml:space="preserve">performed</w:t>
      </w:r>
      <w:r w:rsidDel="00000000" w:rsidR="00000000" w:rsidRPr="00000000">
        <w:rPr>
          <w:rFonts w:ascii="Times New Roman" w:cs="Times New Roman" w:eastAsia="Times New Roman" w:hAnsi="Times New Roman"/>
          <w:rtl w:val="0"/>
        </w:rPr>
        <w:t xml:space="preserve"> in the R programming language (R Core Team, 2019).</w:t>
      </w:r>
    </w:p>
    <w:p w:rsidR="00000000" w:rsidDel="00000000" w:rsidP="00000000" w:rsidRDefault="00000000" w:rsidRPr="00000000" w14:paraId="00000034">
      <w:pPr>
        <w:spacing w:line="480" w:lineRule="auto"/>
        <w:ind w:firstLine="720"/>
        <w:rPr>
          <w:rFonts w:ascii="Times New Roman" w:cs="Times New Roman" w:eastAsia="Times New Roman" w:hAnsi="Times New Roman"/>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rPr/>
      </w:pPr>
      <w:bookmarkStart w:colFirst="0" w:colLast="0" w:name="_6921849kdo93" w:id="4"/>
      <w:bookmarkEnd w:id="4"/>
      <w:r w:rsidDel="00000000" w:rsidR="00000000" w:rsidRPr="00000000">
        <w:rPr>
          <w:rtl w:val="0"/>
        </w:rPr>
        <w:t xml:space="preserve">Resu</w:t>
      </w:r>
      <w:commentRangeStart w:id="28"/>
      <w:r w:rsidDel="00000000" w:rsidR="00000000" w:rsidRPr="00000000">
        <w:rPr>
          <w:rtl w:val="0"/>
        </w:rPr>
        <w:t xml:space="preserve">lts</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036">
      <w:pPr>
        <w:pStyle w:val="Heading2"/>
        <w:ind w:left="0" w:firstLine="0"/>
        <w:rPr/>
      </w:pPr>
      <w:bookmarkStart w:colFirst="0" w:colLast="0" w:name="_6wnt1lhf96oq" w:id="5"/>
      <w:bookmarkEnd w:id="5"/>
      <w:r w:rsidDel="00000000" w:rsidR="00000000" w:rsidRPr="00000000">
        <w:rPr>
          <w:rtl w:val="0"/>
        </w:rPr>
        <w:t xml:space="preserve">Summary statistics</w:t>
      </w:r>
    </w:p>
    <w:p w:rsidR="00000000" w:rsidDel="00000000" w:rsidP="00000000" w:rsidRDefault="00000000" w:rsidRPr="00000000" w14:paraId="00000037">
      <w:pPr>
        <w:pStyle w:val="Heading2"/>
        <w:ind w:firstLine="720"/>
        <w:rPr>
          <w:rFonts w:ascii="Times New Roman" w:cs="Times New Roman" w:eastAsia="Times New Roman" w:hAnsi="Times New Roman"/>
          <w:highlight w:val="white"/>
        </w:rPr>
      </w:pPr>
      <w:bookmarkStart w:colFirst="0" w:colLast="0" w:name="_uzg2digyln7d" w:id="6"/>
      <w:bookmarkEnd w:id="6"/>
      <w:r w:rsidDel="00000000" w:rsidR="00000000" w:rsidRPr="00000000">
        <w:rPr>
          <w:i w:val="0"/>
          <w:rtl w:val="0"/>
        </w:rPr>
        <w:t xml:space="preserve">We recorded 207 species across all 27 years for all 8 sites around Guana Island. </w:t>
      </w:r>
      <w:r w:rsidDel="00000000" w:rsidR="00000000" w:rsidRPr="00000000">
        <w:rPr>
          <w:i w:val="0"/>
          <w:rtl w:val="0"/>
        </w:rPr>
        <w:t xml:space="preserve">There were 117 fish species, 32 coral species, and 58 sponge species. For each site and year combination, coral richness ranges from 4 to 22 (mean = 13), sponge richness ranges from 8 to 36 (mean = 22), fish richness ranges from 9 to 37 (mean = 24), and combined richness ranges from 39 to 75 (mean = 59). Percent coral cover ranged from 2.677 to 61.747 (mean = 21.364), percent sponge cover ranged from 0.2833 to 27.7667 (mean = 7.9626), and rugosity ranged from 17 to 78 (mean = 45.37).</w:t>
      </w:r>
      <w:r w:rsidDel="00000000" w:rsidR="00000000" w:rsidRPr="00000000">
        <w:rPr>
          <w:rtl w:val="0"/>
        </w:rPr>
      </w:r>
    </w:p>
    <w:p w:rsidR="00000000" w:rsidDel="00000000" w:rsidP="00000000" w:rsidRDefault="00000000" w:rsidRPr="00000000" w14:paraId="00000038">
      <w:pPr>
        <w:pStyle w:val="Heading2"/>
        <w:ind w:left="0" w:firstLine="0"/>
        <w:rPr/>
      </w:pPr>
      <w:bookmarkStart w:colFirst="0" w:colLast="0" w:name="_nujrgjx5taud" w:id="7"/>
      <w:bookmarkEnd w:id="7"/>
      <w:r w:rsidDel="00000000" w:rsidR="00000000" w:rsidRPr="00000000">
        <w:rPr>
          <w:rtl w:val="0"/>
        </w:rPr>
        <w:t xml:space="preserve">Model </w:t>
      </w:r>
      <w:commentRangeStart w:id="29"/>
      <w:r w:rsidDel="00000000" w:rsidR="00000000" w:rsidRPr="00000000">
        <w:rPr>
          <w:rtl w:val="0"/>
        </w:rPr>
        <w:t xml:space="preserve">assumptions</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039">
      <w:pPr>
        <w:spacing w:line="480" w:lineRule="auto"/>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t xml:space="preserve">We used negative binomial models rather than Poisson models because likelihood ratio tests revealed that there were no significant differences between the two models (p = 0.50). In addition, graphs of the residuals do not reveal any patterns. However, the negative binomial distribution has the added benefit of accounting for overdispersion in the data, which may be true for comparable datasets from other long-term studies.</w:t>
      </w:r>
    </w:p>
    <w:p w:rsidR="00000000" w:rsidDel="00000000" w:rsidP="00000000" w:rsidRDefault="00000000" w:rsidRPr="00000000" w14:paraId="0000003A">
      <w:pPr>
        <w:pStyle w:val="Heading2"/>
        <w:ind w:firstLine="0"/>
        <w:rPr/>
      </w:pPr>
      <w:bookmarkStart w:colFirst="0" w:colLast="0" w:name="_h6w7xsrogjxa" w:id="8"/>
      <w:bookmarkEnd w:id="8"/>
      <w:r w:rsidDel="00000000" w:rsidR="00000000" w:rsidRPr="00000000">
        <w:rPr>
          <w:rtl w:val="0"/>
        </w:rPr>
        <w:t xml:space="preserve">Objective 1: Identify top candidate surrogates</w:t>
      </w:r>
    </w:p>
    <w:p w:rsidR="00000000" w:rsidDel="00000000" w:rsidP="00000000" w:rsidRDefault="00000000" w:rsidRPr="00000000" w14:paraId="0000003B">
      <w:pPr>
        <w:spacing w:line="480" w:lineRule="auto"/>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t xml:space="preserve">Coral cover was the top candidate surrogate for both coral richness (AICcWt = 1.00; R</w:t>
      </w:r>
      <w:r w:rsidDel="00000000" w:rsidR="00000000" w:rsidRPr="00000000">
        <w:rPr>
          <w:rFonts w:ascii="Times New Roman" w:cs="Times New Roman" w:eastAsia="Times New Roman" w:hAnsi="Times New Roman"/>
          <w:highlight w:val="white"/>
          <w:vertAlign w:val="subscript"/>
          <w:rtl w:val="0"/>
        </w:rPr>
        <w:t xml:space="preserve">N</w:t>
      </w:r>
      <w:r w:rsidDel="00000000" w:rsidR="00000000" w:rsidRPr="00000000">
        <w:rPr>
          <w:rFonts w:ascii="Times New Roman" w:cs="Times New Roman" w:eastAsia="Times New Roman" w:hAnsi="Times New Roman"/>
          <w:highlight w:val="white"/>
          <w:vertAlign w:val="superscript"/>
          <w:rtl w:val="0"/>
        </w:rPr>
        <w:t xml:space="preserve">2</w:t>
      </w:r>
      <w:r w:rsidDel="00000000" w:rsidR="00000000" w:rsidRPr="00000000">
        <w:rPr>
          <w:highlight w:val="white"/>
          <w:rtl w:val="0"/>
        </w:rPr>
        <w:t xml:space="preserve"> = 0.619; Fig. 2)</w:t>
      </w:r>
      <w:r w:rsidDel="00000000" w:rsidR="00000000" w:rsidRPr="00000000">
        <w:rPr>
          <w:rFonts w:ascii="Times New Roman" w:cs="Times New Roman" w:eastAsia="Times New Roman" w:hAnsi="Times New Roman"/>
          <w:highlight w:val="white"/>
          <w:rtl w:val="0"/>
        </w:rPr>
        <w:t xml:space="preserve"> and sponge richness (AICcWt = 0.96</w:t>
      </w:r>
      <w:r w:rsidDel="00000000" w:rsidR="00000000" w:rsidRPr="00000000">
        <w:rPr>
          <w:highlight w:val="white"/>
          <w:rtl w:val="0"/>
        </w:rPr>
        <w:t xml:space="preserve">; R</w:t>
      </w:r>
      <w:r w:rsidDel="00000000" w:rsidR="00000000" w:rsidRPr="00000000">
        <w:rPr>
          <w:highlight w:val="white"/>
          <w:vertAlign w:val="subscript"/>
          <w:rtl w:val="0"/>
        </w:rPr>
        <w:t xml:space="preserve">N</w:t>
      </w:r>
      <w:r w:rsidDel="00000000" w:rsidR="00000000" w:rsidRPr="00000000">
        <w:rPr>
          <w:highlight w:val="white"/>
          <w:vertAlign w:val="superscript"/>
          <w:rtl w:val="0"/>
        </w:rPr>
        <w:t xml:space="preserve">2</w:t>
      </w:r>
      <w:r w:rsidDel="00000000" w:rsidR="00000000" w:rsidRPr="00000000">
        <w:rPr>
          <w:highlight w:val="white"/>
          <w:rtl w:val="0"/>
        </w:rPr>
        <w:t xml:space="preserve"> = 0.283; Fig. 2</w:t>
      </w:r>
      <w:r w:rsidDel="00000000" w:rsidR="00000000" w:rsidRPr="00000000">
        <w:rPr>
          <w:rFonts w:ascii="Times New Roman" w:cs="Times New Roman" w:eastAsia="Times New Roman" w:hAnsi="Times New Roman"/>
          <w:highlight w:val="white"/>
          <w:rtl w:val="0"/>
        </w:rPr>
        <w:t xml:space="preserve">). Rugosity was the top candidate surrogate for fish richness (AICcWt = 1.00</w:t>
      </w:r>
      <w:r w:rsidDel="00000000" w:rsidR="00000000" w:rsidRPr="00000000">
        <w:rPr>
          <w:highlight w:val="white"/>
          <w:rtl w:val="0"/>
        </w:rPr>
        <w:t xml:space="preserve">; R</w:t>
      </w:r>
      <w:r w:rsidDel="00000000" w:rsidR="00000000" w:rsidRPr="00000000">
        <w:rPr>
          <w:highlight w:val="white"/>
          <w:vertAlign w:val="subscript"/>
          <w:rtl w:val="0"/>
        </w:rPr>
        <w:t xml:space="preserve">N</w:t>
      </w:r>
      <w:r w:rsidDel="00000000" w:rsidR="00000000" w:rsidRPr="00000000">
        <w:rPr>
          <w:highlight w:val="white"/>
          <w:vertAlign w:val="superscript"/>
          <w:rtl w:val="0"/>
        </w:rPr>
        <w:t xml:space="preserve">2</w:t>
      </w:r>
      <w:r w:rsidDel="00000000" w:rsidR="00000000" w:rsidRPr="00000000">
        <w:rPr>
          <w:highlight w:val="white"/>
          <w:rtl w:val="0"/>
        </w:rPr>
        <w:t xml:space="preserve"> = 0.625; Fig. 2</w:t>
      </w:r>
      <w:r w:rsidDel="00000000" w:rsidR="00000000" w:rsidRPr="00000000">
        <w:rPr>
          <w:rFonts w:ascii="Times New Roman" w:cs="Times New Roman" w:eastAsia="Times New Roman" w:hAnsi="Times New Roman"/>
          <w:highlight w:val="white"/>
          <w:rtl w:val="0"/>
        </w:rPr>
        <w:t xml:space="preserve">) and combined richness (AICcWt = 0.</w:t>
      </w:r>
      <w:r w:rsidDel="00000000" w:rsidR="00000000" w:rsidRPr="00000000">
        <w:rPr>
          <w:rFonts w:ascii="Times New Roman" w:cs="Times New Roman" w:eastAsia="Times New Roman" w:hAnsi="Times New Roman"/>
          <w:highlight w:val="white"/>
          <w:rtl w:val="0"/>
        </w:rPr>
        <w:t xml:space="preserve">99</w:t>
      </w:r>
      <w:r w:rsidDel="00000000" w:rsidR="00000000" w:rsidRPr="00000000">
        <w:rPr>
          <w:highlight w:val="white"/>
          <w:rtl w:val="0"/>
        </w:rPr>
        <w:t xml:space="preserve">; R</w:t>
      </w:r>
      <w:r w:rsidDel="00000000" w:rsidR="00000000" w:rsidRPr="00000000">
        <w:rPr>
          <w:highlight w:val="white"/>
          <w:vertAlign w:val="subscript"/>
          <w:rtl w:val="0"/>
        </w:rPr>
        <w:t xml:space="preserve">N</w:t>
      </w:r>
      <w:r w:rsidDel="00000000" w:rsidR="00000000" w:rsidRPr="00000000">
        <w:rPr>
          <w:highlight w:val="white"/>
          <w:vertAlign w:val="superscript"/>
          <w:rtl w:val="0"/>
        </w:rPr>
        <w:t xml:space="preserve">2</w:t>
      </w:r>
      <w:r w:rsidDel="00000000" w:rsidR="00000000" w:rsidRPr="00000000">
        <w:rPr>
          <w:highlight w:val="white"/>
          <w:rtl w:val="0"/>
        </w:rPr>
        <w:t xml:space="preserve"> = 0.383; Fig. 2</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highlight w:val="white"/>
          <w:rtl w:val="0"/>
        </w:rPr>
        <w:t xml:space="preserve"> In each of these cases, there are no other models with delta AICc </w:t>
      </w:r>
      <w:r w:rsidDel="00000000" w:rsidR="00000000" w:rsidRPr="00000000">
        <w:rPr>
          <w:rFonts w:ascii="Gungsuh" w:cs="Gungsuh" w:eastAsia="Gungsuh" w:hAnsi="Gungsuh"/>
          <w:highlight w:val="white"/>
          <w:rtl w:val="0"/>
        </w:rPr>
        <w:t xml:space="preserve">≤ 2.</w:t>
      </w:r>
      <w:r w:rsidDel="00000000" w:rsidR="00000000" w:rsidRPr="00000000">
        <w:rPr>
          <w:rtl w:val="0"/>
        </w:rPr>
      </w:r>
    </w:p>
    <w:p w:rsidR="00000000" w:rsidDel="00000000" w:rsidP="00000000" w:rsidRDefault="00000000" w:rsidRPr="00000000" w14:paraId="0000003C">
      <w:pPr>
        <w:pStyle w:val="Heading2"/>
        <w:ind w:firstLine="0"/>
        <w:rPr/>
      </w:pPr>
      <w:bookmarkStart w:colFirst="0" w:colLast="0" w:name="_rmzz1zfdvwy1" w:id="9"/>
      <w:bookmarkEnd w:id="9"/>
      <w:r w:rsidDel="00000000" w:rsidR="00000000" w:rsidRPr="00000000">
        <w:rPr>
          <w:rtl w:val="0"/>
        </w:rPr>
        <w:t xml:space="preserve">Objective 2: Top candidate surrogates over time and space</w:t>
      </w:r>
    </w:p>
    <w:p w:rsidR="00000000" w:rsidDel="00000000" w:rsidP="00000000" w:rsidRDefault="00000000" w:rsidRPr="00000000" w14:paraId="0000003D">
      <w:pPr>
        <w:numPr>
          <w:ilvl w:val="0"/>
          <w:numId w:val="1"/>
        </w:numPr>
        <w:spacing w:line="480" w:lineRule="auto"/>
        <w:ind w:left="1440" w:hanging="360"/>
        <w:rPr>
          <w:highlight w:val="white"/>
          <w:u w:val="none"/>
        </w:rPr>
      </w:pPr>
      <w:r w:rsidDel="00000000" w:rsidR="00000000" w:rsidRPr="00000000">
        <w:rPr>
          <w:highlight w:val="white"/>
          <w:rtl w:val="0"/>
        </w:rPr>
        <w:t xml:space="preserve">coral richness.  best ones are yr and cc x yr {(AICcWt = 0.29; delta AICc = 1.4; R</w:t>
      </w:r>
      <w:r w:rsidDel="00000000" w:rsidR="00000000" w:rsidRPr="00000000">
        <w:rPr>
          <w:highlight w:val="white"/>
          <w:vertAlign w:val="subscript"/>
          <w:rtl w:val="0"/>
        </w:rPr>
        <w:t xml:space="preserve">N</w:t>
      </w:r>
      <w:r w:rsidDel="00000000" w:rsidR="00000000" w:rsidRPr="00000000">
        <w:rPr>
          <w:highlight w:val="white"/>
          <w:vertAlign w:val="superscript"/>
          <w:rtl w:val="0"/>
        </w:rPr>
        <w:t xml:space="preserve">2</w:t>
      </w:r>
      <w:r w:rsidDel="00000000" w:rsidR="00000000" w:rsidRPr="00000000">
        <w:rPr>
          <w:highlight w:val="white"/>
          <w:rtl w:val="0"/>
        </w:rPr>
        <w:t xml:space="preserve"> = 0.690)}  for simplicity focus on </w:t>
      </w:r>
      <w:r w:rsidDel="00000000" w:rsidR="00000000" w:rsidRPr="00000000">
        <w:rPr>
          <w:highlight w:val="white"/>
          <w:rtl w:val="0"/>
        </w:rPr>
        <w:t xml:space="preserve">yr</w:t>
      </w:r>
      <w:r w:rsidDel="00000000" w:rsidR="00000000" w:rsidRPr="00000000">
        <w:rPr>
          <w:highlight w:val="white"/>
          <w:rtl w:val="0"/>
        </w:rPr>
        <w:t xml:space="preserve">. (AICcWt = 0.58; R</w:t>
      </w:r>
      <w:r w:rsidDel="00000000" w:rsidR="00000000" w:rsidRPr="00000000">
        <w:rPr>
          <w:highlight w:val="white"/>
          <w:vertAlign w:val="subscript"/>
          <w:rtl w:val="0"/>
        </w:rPr>
        <w:t xml:space="preserve">N</w:t>
      </w:r>
      <w:r w:rsidDel="00000000" w:rsidR="00000000" w:rsidRPr="00000000">
        <w:rPr>
          <w:highlight w:val="white"/>
          <w:vertAlign w:val="superscript"/>
          <w:rtl w:val="0"/>
        </w:rPr>
        <w:t xml:space="preserve">2</w:t>
      </w:r>
      <w:r w:rsidDel="00000000" w:rsidR="00000000" w:rsidRPr="00000000">
        <w:rPr>
          <w:highlight w:val="white"/>
          <w:rtl w:val="0"/>
        </w:rPr>
        <w:t xml:space="preserve"> = 0.688; Tab. 5; Fig. 3).... “</w:t>
      </w:r>
      <w:r w:rsidDel="00000000" w:rsidR="00000000" w:rsidRPr="00000000">
        <w:rPr>
          <w:rtl w:val="0"/>
        </w:rPr>
        <w:t xml:space="preserve">candidate surrogate maintained a correlation with the target over space, but that there was still some variation over time that could not be accounted for by the surrogate alone. This might make it good at predicting the target across nearby sites that were monitored in the same time frame.” / “interactive models would suggest that the relationship between the target and the top candidate surrogate changes over time”</w:t>
      </w:r>
      <w:r w:rsidDel="00000000" w:rsidR="00000000" w:rsidRPr="00000000">
        <w:rPr>
          <w:rtl w:val="0"/>
        </w:rPr>
      </w:r>
    </w:p>
    <w:p w:rsidR="00000000" w:rsidDel="00000000" w:rsidP="00000000" w:rsidRDefault="00000000" w:rsidRPr="00000000" w14:paraId="0000003E">
      <w:pPr>
        <w:numPr>
          <w:ilvl w:val="0"/>
          <w:numId w:val="1"/>
        </w:numPr>
        <w:spacing w:line="480" w:lineRule="auto"/>
        <w:ind w:left="1440" w:hanging="360"/>
        <w:rPr>
          <w:highlight w:val="white"/>
          <w:u w:val="none"/>
        </w:rPr>
      </w:pPr>
      <w:r w:rsidDel="00000000" w:rsidR="00000000" w:rsidRPr="00000000">
        <w:rPr>
          <w:highlight w:val="white"/>
          <w:rtl w:val="0"/>
        </w:rPr>
        <w:t xml:space="preserve">sponge richness.  coral cover is best surrogate.  </w:t>
      </w:r>
      <w:r w:rsidDel="00000000" w:rsidR="00000000" w:rsidRPr="00000000">
        <w:rPr>
          <w:highlight w:val="white"/>
          <w:rtl w:val="0"/>
        </w:rPr>
        <w:t xml:space="preserve">yr</w:t>
      </w:r>
      <w:r w:rsidDel="00000000" w:rsidR="00000000" w:rsidRPr="00000000">
        <w:rPr>
          <w:highlight w:val="white"/>
          <w:rtl w:val="0"/>
        </w:rPr>
        <w:t xml:space="preserve"> + site.(AICcWt = 1.00; R</w:t>
      </w:r>
      <w:r w:rsidDel="00000000" w:rsidR="00000000" w:rsidRPr="00000000">
        <w:rPr>
          <w:highlight w:val="white"/>
          <w:vertAlign w:val="subscript"/>
          <w:rtl w:val="0"/>
        </w:rPr>
        <w:t xml:space="preserve">N</w:t>
      </w:r>
      <w:r w:rsidDel="00000000" w:rsidR="00000000" w:rsidRPr="00000000">
        <w:rPr>
          <w:highlight w:val="white"/>
          <w:vertAlign w:val="superscript"/>
          <w:rtl w:val="0"/>
        </w:rPr>
        <w:t xml:space="preserve">2</w:t>
      </w:r>
      <w:r w:rsidDel="00000000" w:rsidR="00000000" w:rsidRPr="00000000">
        <w:rPr>
          <w:highlight w:val="white"/>
          <w:rtl w:val="0"/>
        </w:rPr>
        <w:t xml:space="preserve"> = 0.712; Tab. 6; Fig. 4 [site]; Fig. 5 [yr]) The low pseudo-r-squared values suggest that n</w:t>
      </w:r>
      <w:r w:rsidDel="00000000" w:rsidR="00000000" w:rsidRPr="00000000">
        <w:rPr>
          <w:highlight w:val="white"/>
          <w:rtl w:val="0"/>
        </w:rPr>
        <w:t xml:space="preserve">one of the candidate surrogates seems to be related to sponge richness (Fig. 2)</w:t>
      </w:r>
      <w:r w:rsidDel="00000000" w:rsidR="00000000" w:rsidRPr="00000000">
        <w:rPr>
          <w:highlight w:val="white"/>
          <w:rtl w:val="0"/>
        </w:rPr>
        <w:t xml:space="preserve">.... “</w:t>
      </w:r>
      <w:r w:rsidDel="00000000" w:rsidR="00000000" w:rsidRPr="00000000">
        <w:rPr>
          <w:rtl w:val="0"/>
        </w:rPr>
        <w:t xml:space="preserve">the candidate surrogate maintained a correlation with the target over time, but that there was still some variation over space and time that could not be accounted for by the surrogate alone. Assuming the surrogate coefficient is significant, this means the surrogate might correlate with the target, but that site and time must be accounted for, thus defeating the purpose of using the surrogate in a predictive capacity over space and time, but can still be used to estimate the target.”</w:t>
      </w:r>
      <w:r w:rsidDel="00000000" w:rsidR="00000000" w:rsidRPr="00000000">
        <w:rPr>
          <w:rtl w:val="0"/>
        </w:rPr>
      </w:r>
    </w:p>
    <w:p w:rsidR="00000000" w:rsidDel="00000000" w:rsidP="00000000" w:rsidRDefault="00000000" w:rsidRPr="00000000" w14:paraId="0000003F">
      <w:pPr>
        <w:numPr>
          <w:ilvl w:val="0"/>
          <w:numId w:val="1"/>
        </w:numPr>
        <w:spacing w:line="480" w:lineRule="auto"/>
        <w:ind w:left="1440" w:hanging="360"/>
        <w:rPr>
          <w:highlight w:val="white"/>
          <w:u w:val="none"/>
        </w:rPr>
      </w:pPr>
      <w:r w:rsidDel="00000000" w:rsidR="00000000" w:rsidRPr="00000000">
        <w:rPr>
          <w:highlight w:val="white"/>
          <w:rtl w:val="0"/>
        </w:rPr>
        <w:t xml:space="preserve">fish richness. best is rugosity.  </w:t>
      </w:r>
      <w:r w:rsidDel="00000000" w:rsidR="00000000" w:rsidRPr="00000000">
        <w:rPr>
          <w:highlight w:val="white"/>
          <w:rtl w:val="0"/>
        </w:rPr>
        <w:t xml:space="preserve">site</w:t>
      </w:r>
      <w:r w:rsidDel="00000000" w:rsidR="00000000" w:rsidRPr="00000000">
        <w:rPr>
          <w:highlight w:val="white"/>
          <w:rtl w:val="0"/>
        </w:rPr>
        <w:t xml:space="preserve"> (AICcWt = 0.75; R</w:t>
      </w:r>
      <w:r w:rsidDel="00000000" w:rsidR="00000000" w:rsidRPr="00000000">
        <w:rPr>
          <w:highlight w:val="white"/>
          <w:vertAlign w:val="subscript"/>
          <w:rtl w:val="0"/>
        </w:rPr>
        <w:t xml:space="preserve">N</w:t>
      </w:r>
      <w:r w:rsidDel="00000000" w:rsidR="00000000" w:rsidRPr="00000000">
        <w:rPr>
          <w:highlight w:val="white"/>
          <w:vertAlign w:val="superscript"/>
          <w:rtl w:val="0"/>
        </w:rPr>
        <w:t xml:space="preserve">2</w:t>
      </w:r>
      <w:r w:rsidDel="00000000" w:rsidR="00000000" w:rsidRPr="00000000">
        <w:rPr>
          <w:highlight w:val="white"/>
          <w:rtl w:val="0"/>
        </w:rPr>
        <w:t xml:space="preserve"> = 0.824; Tab. 7; Fig. 6). site+yr worth noting {(AICcWt = 0.25; delta AICc = 2.2; R</w:t>
      </w:r>
      <w:r w:rsidDel="00000000" w:rsidR="00000000" w:rsidRPr="00000000">
        <w:rPr>
          <w:highlight w:val="white"/>
          <w:vertAlign w:val="subscript"/>
          <w:rtl w:val="0"/>
        </w:rPr>
        <w:t xml:space="preserve">N</w:t>
      </w:r>
      <w:r w:rsidDel="00000000" w:rsidR="00000000" w:rsidRPr="00000000">
        <w:rPr>
          <w:highlight w:val="white"/>
          <w:vertAlign w:val="superscript"/>
          <w:rtl w:val="0"/>
        </w:rPr>
        <w:t xml:space="preserve">2</w:t>
      </w:r>
      <w:r w:rsidDel="00000000" w:rsidR="00000000" w:rsidRPr="00000000">
        <w:rPr>
          <w:highlight w:val="white"/>
          <w:rtl w:val="0"/>
        </w:rPr>
        <w:t xml:space="preserve"> = 0.824)} …. “</w:t>
      </w:r>
      <w:r w:rsidDel="00000000" w:rsidR="00000000" w:rsidRPr="00000000">
        <w:rPr>
          <w:rtl w:val="0"/>
        </w:rPr>
        <w:t xml:space="preserve">candidate surrogate maintained a correlation with the target over time, but that there was still some variation across sites that could not be accounted for by the surrogate alone. This might make it good at predicting the target at the same site that was monitored over a reasonable time frame.”</w:t>
      </w:r>
      <w:r w:rsidDel="00000000" w:rsidR="00000000" w:rsidRPr="00000000">
        <w:rPr>
          <w:rtl w:val="0"/>
        </w:rPr>
      </w:r>
    </w:p>
    <w:p w:rsidR="00000000" w:rsidDel="00000000" w:rsidP="00000000" w:rsidRDefault="00000000" w:rsidRPr="00000000" w14:paraId="00000040">
      <w:pPr>
        <w:numPr>
          <w:ilvl w:val="0"/>
          <w:numId w:val="1"/>
        </w:numPr>
        <w:spacing w:line="480" w:lineRule="auto"/>
        <w:ind w:left="1440" w:hanging="360"/>
        <w:rPr>
          <w:highlight w:val="white"/>
          <w:u w:val="none"/>
        </w:rPr>
      </w:pPr>
      <w:r w:rsidDel="00000000" w:rsidR="00000000" w:rsidRPr="00000000">
        <w:rPr>
          <w:highlight w:val="white"/>
          <w:rtl w:val="0"/>
        </w:rPr>
        <w:t xml:space="preserve">combined richness.  rugosity plus yr plus site.   try same graph template as for sponge richness.  (AICcWt = 0.96; R</w:t>
      </w:r>
      <w:r w:rsidDel="00000000" w:rsidR="00000000" w:rsidRPr="00000000">
        <w:rPr>
          <w:highlight w:val="white"/>
          <w:vertAlign w:val="subscript"/>
          <w:rtl w:val="0"/>
        </w:rPr>
        <w:t xml:space="preserve">N</w:t>
      </w:r>
      <w:r w:rsidDel="00000000" w:rsidR="00000000" w:rsidRPr="00000000">
        <w:rPr>
          <w:highlight w:val="white"/>
          <w:vertAlign w:val="superscript"/>
          <w:rtl w:val="0"/>
        </w:rPr>
        <w:t xml:space="preserve">2</w:t>
      </w:r>
      <w:r w:rsidDel="00000000" w:rsidR="00000000" w:rsidRPr="00000000">
        <w:rPr>
          <w:highlight w:val="white"/>
          <w:rtl w:val="0"/>
        </w:rPr>
        <w:t xml:space="preserve"> = 0.649; Tab. 8; Fig. 7 [site]; Fig. 8 [yr]) …. “</w:t>
      </w:r>
      <w:r w:rsidDel="00000000" w:rsidR="00000000" w:rsidRPr="00000000">
        <w:rPr>
          <w:rtl w:val="0"/>
        </w:rPr>
        <w:t xml:space="preserve">the candidate surrogate maintained a correlation with the target over time, but that there was still some variation over space and time that could not be accounted for by the surrogate alone. Assuming the surrogate coefficient is significant, this means the surrogate might correlate with the target, but that site and time must be accounted for, thus defeating the purpose of using the surrogate in a predictive capacity over space and time, but can still be used to estimate the target.”</w:t>
      </w:r>
      <w:r w:rsidDel="00000000" w:rsidR="00000000" w:rsidRPr="00000000">
        <w:rPr>
          <w:rtl w:val="0"/>
        </w:rPr>
      </w:r>
    </w:p>
    <w:p w:rsidR="00000000" w:rsidDel="00000000" w:rsidP="00000000" w:rsidRDefault="00000000" w:rsidRPr="00000000" w14:paraId="00000041">
      <w:pPr>
        <w:pStyle w:val="Heading2"/>
        <w:ind w:firstLine="0"/>
        <w:rPr/>
      </w:pPr>
      <w:bookmarkStart w:colFirst="0" w:colLast="0" w:name="_wewp8zkd7499" w:id="10"/>
      <w:bookmarkEnd w:id="10"/>
      <w:r w:rsidDel="00000000" w:rsidR="00000000" w:rsidRPr="00000000">
        <w:rPr>
          <w:rtl w:val="0"/>
        </w:rPr>
        <w:t xml:space="preserve">Exploratory analysis</w:t>
      </w:r>
    </w:p>
    <w:p w:rsidR="00000000" w:rsidDel="00000000" w:rsidP="00000000" w:rsidRDefault="00000000" w:rsidRPr="00000000" w14:paraId="00000042">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See appendices </w:t>
      </w:r>
      <w:r w:rsidDel="00000000" w:rsidR="00000000" w:rsidRPr="00000000">
        <w:rPr>
          <w:highlight w:val="white"/>
          <w:rtl w:val="0"/>
        </w:rPr>
        <w:t xml:space="preserve">2-5</w:t>
      </w:r>
      <w:r w:rsidDel="00000000" w:rsidR="00000000" w:rsidRPr="00000000">
        <w:rPr>
          <w:rFonts w:ascii="Times New Roman" w:cs="Times New Roman" w:eastAsia="Times New Roman" w:hAnsi="Times New Roman"/>
          <w:highlight w:val="white"/>
          <w:rtl w:val="0"/>
        </w:rPr>
        <w:t xml:space="preserve"> for AICc tables from the full exploratory analyses for each of the 4 targets with all models for all three </w:t>
      </w:r>
      <w:r w:rsidDel="00000000" w:rsidR="00000000" w:rsidRPr="00000000">
        <w:rPr>
          <w:rFonts w:ascii="Times New Roman" w:cs="Times New Roman" w:eastAsia="Times New Roman" w:hAnsi="Times New Roman"/>
          <w:rtl w:val="0"/>
        </w:rPr>
        <w:t xml:space="preserve">candidate </w:t>
      </w:r>
      <w:r w:rsidDel="00000000" w:rsidR="00000000" w:rsidRPr="00000000">
        <w:rPr>
          <w:rFonts w:ascii="Times New Roman" w:cs="Times New Roman" w:eastAsia="Times New Roman" w:hAnsi="Times New Roman"/>
          <w:highlight w:val="white"/>
          <w:rtl w:val="0"/>
        </w:rPr>
        <w:t xml:space="preserve">surrogates.</w:t>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pStyle w:val="Heading1"/>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rPr/>
      </w:pPr>
      <w:r w:rsidDel="00000000" w:rsidR="00000000" w:rsidRPr="00000000">
        <w:rPr>
          <w:rtl w:val="0"/>
        </w:rPr>
        <w:t xml:space="preserve">Discussion</w:t>
      </w:r>
    </w:p>
    <w:p w:rsidR="00000000" w:rsidDel="00000000" w:rsidP="00000000" w:rsidRDefault="00000000" w:rsidRPr="00000000" w14:paraId="00000046">
      <w:pPr>
        <w:pStyle w:val="Heading1"/>
        <w:rPr/>
      </w:pPr>
      <w:r w:rsidDel="00000000" w:rsidR="00000000" w:rsidRPr="00000000">
        <w:rPr>
          <w:rtl w:val="0"/>
        </w:rPr>
        <w:t xml:space="preserve">Conclusions</w:t>
      </w:r>
    </w:p>
    <w:p w:rsidR="00000000" w:rsidDel="00000000" w:rsidP="00000000" w:rsidRDefault="00000000" w:rsidRPr="00000000" w14:paraId="00000047">
      <w:pPr>
        <w:pStyle w:val="Heading1"/>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rPr/>
      </w:pPr>
      <w:r w:rsidDel="00000000" w:rsidR="00000000" w:rsidRPr="00000000">
        <w:rPr>
          <w:rtl w:val="0"/>
        </w:rPr>
        <w:t xml:space="preserve">Literatu</w:t>
      </w:r>
      <w:commentRangeStart w:id="30"/>
      <w:r w:rsidDel="00000000" w:rsidR="00000000" w:rsidRPr="00000000">
        <w:rPr>
          <w:rtl w:val="0"/>
        </w:rPr>
        <w:t xml:space="preserve">re Cite</w:t>
      </w:r>
      <w:commentRangeEnd w:id="30"/>
      <w:r w:rsidDel="00000000" w:rsidR="00000000" w:rsidRPr="00000000">
        <w:commentReference w:id="30"/>
      </w:r>
      <w:r w:rsidDel="00000000" w:rsidR="00000000" w:rsidRPr="00000000">
        <w:rPr>
          <w:rtl w:val="0"/>
        </w:rPr>
        <w:t xml:space="preserve">d</w:t>
      </w:r>
    </w:p>
    <w:p w:rsidR="00000000" w:rsidDel="00000000" w:rsidP="00000000" w:rsidRDefault="00000000" w:rsidRPr="00000000" w14:paraId="00000049">
      <w:pPr>
        <w:widowControl w:val="0"/>
        <w:spacing w:line="480" w:lineRule="auto"/>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Almada-Villela, P. C., Sale, P. F., Gold-Bouchot, G., &amp; Kjerfve, B. (2003). Manual of methods for the MBRS synoptic monitoring program: Selected methods for monitoring physical and biological parameters for use in the Mesoamerican region. Belize City: Mesoamerican Barrier Reef Systems project (MBRS).</w:t>
      </w:r>
    </w:p>
    <w:p w:rsidR="00000000" w:rsidDel="00000000" w:rsidP="00000000" w:rsidRDefault="00000000" w:rsidRPr="00000000" w14:paraId="0000004A">
      <w:pPr>
        <w:widowControl w:val="0"/>
        <w:spacing w:line="480" w:lineRule="auto"/>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Angelini, C., Altieri, A. H., Silliman, B. R., &amp; Bertness, M. D. (2018). Interactions among Foundation Species and Their Consequences ­ for Community Organization , Biodiversity , and Conservation, 61(10). https://doi.org/10.1525/bio.2011.61.10.8</w:t>
      </w:r>
    </w:p>
    <w:p w:rsidR="00000000" w:rsidDel="00000000" w:rsidP="00000000" w:rsidRDefault="00000000" w:rsidRPr="00000000" w14:paraId="0000004B">
      <w:pPr>
        <w:widowControl w:val="0"/>
        <w:spacing w:line="480" w:lineRule="auto"/>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Bevilacqua, S., Mistri, M., Terlizzi, A., &amp; Munari, C. (2018). Assessing the effectiveness of surrogates for species over time: Evidence from decadal monitoring of a Mediterranean transitional water ecosystem. Marine Pollution Bulletin. https://doi.org/10.1016/j.marpolbul.2018.04.047</w:t>
      </w:r>
    </w:p>
    <w:p w:rsidR="00000000" w:rsidDel="00000000" w:rsidP="00000000" w:rsidRDefault="00000000" w:rsidRPr="00000000" w14:paraId="0000004C">
      <w:pPr>
        <w:widowControl w:val="0"/>
        <w:spacing w:line="480" w:lineRule="auto"/>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Derraik, J. G. B., Closs, G. P., Dickinson, K. J. M., Sirvid, P., Barratt, B. I. P., &amp; Patrick, B. H. (2002). Arthropod morphospecies versus taxonomic species: A case study with Araneae, Coleoptera, and Lepidoptera. Conservation Biology, 16(4), 1015–1023. Retrieved from http://onlinelibrary.wiley.com/doi/10.1046/j.1523-1739.2002.00358.x/full</w:t>
      </w:r>
    </w:p>
    <w:p w:rsidR="00000000" w:rsidDel="00000000" w:rsidP="00000000" w:rsidRDefault="00000000" w:rsidRPr="00000000" w14:paraId="0000004D">
      <w:pPr>
        <w:widowControl w:val="0"/>
        <w:spacing w:line="480" w:lineRule="auto"/>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Duelli, P., &amp; Obrist, M. K. (2003). Biodiversity indicators: The choice of values and measures. Agriculture, Ecosystems and Environment, 98, 87–98. https://doi.org/10.1016/S0167-8809(03)00072-0</w:t>
      </w:r>
    </w:p>
    <w:p w:rsidR="00000000" w:rsidDel="00000000" w:rsidP="00000000" w:rsidRDefault="00000000" w:rsidRPr="00000000" w14:paraId="0000004E">
      <w:pPr>
        <w:widowControl w:val="0"/>
        <w:spacing w:line="480" w:lineRule="auto"/>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Emmett Duffy, J. (2009). Why biodiversity is important to the functioning of real-world ecosystems. Frontiers in Ecology and the Environment, 7(8), 437–444. https://doi.org/10.1890/070195</w:t>
      </w:r>
    </w:p>
    <w:p w:rsidR="00000000" w:rsidDel="00000000" w:rsidP="00000000" w:rsidRDefault="00000000" w:rsidRPr="00000000" w14:paraId="0000004F">
      <w:pPr>
        <w:widowControl w:val="0"/>
        <w:spacing w:line="480" w:lineRule="auto"/>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Emslie, M. J., Cheal, A. J., MacNeil, M. A., Miller, I. R., &amp; Sweatman, H. P. A. (2018). Reef fish communities are spooked by scuba surveys and may take hours to recover. PeerJ. https://doi.org/10.7717/peerj.4886</w:t>
      </w:r>
    </w:p>
    <w:p w:rsidR="00000000" w:rsidDel="00000000" w:rsidP="00000000" w:rsidRDefault="00000000" w:rsidRPr="00000000" w14:paraId="00000050">
      <w:pPr>
        <w:widowControl w:val="0"/>
        <w:spacing w:line="480" w:lineRule="auto"/>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Fontaine, A., Devillers, R., Peres-Neto, P. R., &amp; Johnson, L. E. (2015). Delineating marine ecological units: A novel approach for deciding which taxonomic group to use and which taxonomic resolution to choose. Diversity and Distributions, 21, 1167–1180. https://doi.org/10.1111/ddi.12361</w:t>
      </w:r>
    </w:p>
    <w:p w:rsidR="00000000" w:rsidDel="00000000" w:rsidP="00000000" w:rsidRDefault="00000000" w:rsidRPr="00000000" w14:paraId="00000051">
      <w:pPr>
        <w:widowControl w:val="0"/>
        <w:spacing w:line="480" w:lineRule="auto"/>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Forrester, G., Baily, P., Conetta, D., Forrester, L., Kintzing, E., &amp; Jarecki, L. (2015). Comparing monitoring data collected by volunteers and professionals shows that citizen scientists can detect long-term change on coral reefs. Journal for Nature Conservation, 24, 1–9. https://doi.org/10.1016/j.jnc.2015.01.002</w:t>
      </w:r>
    </w:p>
    <w:p w:rsidR="00000000" w:rsidDel="00000000" w:rsidP="00000000" w:rsidRDefault="00000000" w:rsidRPr="00000000" w14:paraId="00000052">
      <w:pPr>
        <w:widowControl w:val="0"/>
        <w:spacing w:line="480" w:lineRule="auto"/>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Habibi, A., Setiasih, N., &amp; Sartin, J. (2007). A decade of reef check monitoring: Indonesian coral reefs, condition and trends. The Indonesian Reef Check Network.</w:t>
      </w:r>
    </w:p>
    <w:p w:rsidR="00000000" w:rsidDel="00000000" w:rsidP="00000000" w:rsidRDefault="00000000" w:rsidRPr="00000000" w14:paraId="00000053">
      <w:pPr>
        <w:widowControl w:val="0"/>
        <w:spacing w:line="480" w:lineRule="auto"/>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Hamilton, A. J. (2005). Species diversity or biodiversity? Journal of Environmental Management, 75, 89–92. https://doi.org/10.1016/j.jenvman.2004.11.012</w:t>
      </w:r>
    </w:p>
    <w:p w:rsidR="00000000" w:rsidDel="00000000" w:rsidP="00000000" w:rsidRDefault="00000000" w:rsidRPr="00000000" w14:paraId="00000054">
      <w:pPr>
        <w:widowControl w:val="0"/>
        <w:spacing w:line="480" w:lineRule="auto"/>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Hirst, A. J. (2008). Surrogate measures for assessing cryptic faunal biodiversity on macroalgal-dominated subtidal reefs. Biological Conservation, 141, 211–220.</w:t>
      </w:r>
    </w:p>
    <w:p w:rsidR="00000000" w:rsidDel="00000000" w:rsidP="00000000" w:rsidRDefault="00000000" w:rsidRPr="00000000" w14:paraId="00000055">
      <w:pPr>
        <w:widowControl w:val="0"/>
        <w:spacing w:line="480" w:lineRule="auto"/>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Hughes, Terence P. (1994). Catastrophes, phase shifts, and large-scale degradation of a Caribbean coral reef. Science, 265(5178), 1547–1551.</w:t>
      </w:r>
    </w:p>
    <w:p w:rsidR="00000000" w:rsidDel="00000000" w:rsidP="00000000" w:rsidRDefault="00000000" w:rsidRPr="00000000" w14:paraId="00000056">
      <w:pPr>
        <w:widowControl w:val="0"/>
        <w:spacing w:line="480" w:lineRule="auto"/>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Hughes, Terry P., Kerry, J. T., Álvarez-Noriega, M., Álvarez-Romero, J. G., Anderson, K. D., Baird, A. H., … Wilson, S. K. (2017). Global warming and recurrent mass bleaching of corals. Nature, 543, 373–377. https://doi.org/10.1038/nature21707</w:t>
      </w:r>
    </w:p>
    <w:p w:rsidR="00000000" w:rsidDel="00000000" w:rsidP="00000000" w:rsidRDefault="00000000" w:rsidRPr="00000000" w14:paraId="00000057">
      <w:pPr>
        <w:widowControl w:val="0"/>
        <w:spacing w:line="480" w:lineRule="auto"/>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Kati, V., Devillers, P., Dufrêne, M., Legakis, A., Vokou, D., &amp; Lebrun, P. (2004). Testing the value of six taxonomic groups as biodiversity indicators at a local scale. Conservation Biology (Vol. 18).</w:t>
      </w:r>
    </w:p>
    <w:p w:rsidR="00000000" w:rsidDel="00000000" w:rsidP="00000000" w:rsidRDefault="00000000" w:rsidRPr="00000000" w14:paraId="00000058">
      <w:pPr>
        <w:widowControl w:val="0"/>
        <w:spacing w:line="480" w:lineRule="auto"/>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Magierowski, R. H., &amp; Johnson, C. R. (2006). Robustness of surrogates of biodiversity in marine benthic communities. Ecological Applications, 16(6), 2264–2275.</w:t>
      </w:r>
    </w:p>
    <w:p w:rsidR="00000000" w:rsidDel="00000000" w:rsidP="00000000" w:rsidRDefault="00000000" w:rsidRPr="00000000" w14:paraId="00000059">
      <w:pPr>
        <w:widowControl w:val="0"/>
        <w:spacing w:line="480" w:lineRule="auto"/>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Margules, C. R., Pressey, R. L., &amp; Williams, P. H. (2002). Representing biodiversity: Data and procedures for identifying priority areas for conservation. Journal of Biosciences, 27(4), 309–326.</w:t>
      </w:r>
    </w:p>
    <w:p w:rsidR="00000000" w:rsidDel="00000000" w:rsidP="00000000" w:rsidRDefault="00000000" w:rsidRPr="00000000" w14:paraId="0000005A">
      <w:pPr>
        <w:widowControl w:val="0"/>
        <w:spacing w:line="480" w:lineRule="auto"/>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Mazerolle, M. J. (2019). AICcmodavg: Model selection and multimodel inference based on (Q)AIC(c). Retrieved from https://cran.r-project.org/package=AICcmodavg</w:t>
      </w:r>
    </w:p>
    <w:p w:rsidR="00000000" w:rsidDel="00000000" w:rsidP="00000000" w:rsidRDefault="00000000" w:rsidRPr="00000000" w14:paraId="0000005B">
      <w:pPr>
        <w:widowControl w:val="0"/>
        <w:spacing w:line="480" w:lineRule="auto"/>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McCormick, M. I. (1994). Comparison of field methods for measuring surface topography and their associations with a tropical reef fish assemblage. Marine Ecology Progress Series, 112, 87–96. https://doi.org/10.3354/meps112087</w:t>
      </w:r>
    </w:p>
    <w:p w:rsidR="00000000" w:rsidDel="00000000" w:rsidP="00000000" w:rsidRDefault="00000000" w:rsidRPr="00000000" w14:paraId="0000005C">
      <w:pPr>
        <w:widowControl w:val="0"/>
        <w:spacing w:line="480" w:lineRule="auto"/>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Musco, L., Mikac, B., Tataranni, M., Giangrande, A., &amp; Terlizzi, A. (2011). The use of coarser taxonomy in the detection of long-term changes in polychaete assemblages. Marine Environmental Research, 71, 131–138. https://doi.org/10.1016/j.marenvres.2010.12.004</w:t>
      </w:r>
    </w:p>
    <w:p w:rsidR="00000000" w:rsidDel="00000000" w:rsidP="00000000" w:rsidRDefault="00000000" w:rsidRPr="00000000" w14:paraId="0000005D">
      <w:pPr>
        <w:widowControl w:val="0"/>
        <w:spacing w:line="480" w:lineRule="auto"/>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Noss, R. F. (1990). Indicators for monitoring biodiversity: A hierarchical approach. Conservation Biology, 4(4), 355–364.</w:t>
      </w:r>
    </w:p>
    <w:p w:rsidR="00000000" w:rsidDel="00000000" w:rsidP="00000000" w:rsidRDefault="00000000" w:rsidRPr="00000000" w14:paraId="0000005E">
      <w:pPr>
        <w:widowControl w:val="0"/>
        <w:spacing w:line="480" w:lineRule="auto"/>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Olsgard, F., &amp; Somerfield, P. J. (2000). Surrogates in marine benthic investigations - which taxonomic unit to target? Journal of Aquatic Ecosystem Stress and Recovery, 7, 25–42.</w:t>
      </w:r>
    </w:p>
    <w:p w:rsidR="00000000" w:rsidDel="00000000" w:rsidP="00000000" w:rsidRDefault="00000000" w:rsidRPr="00000000" w14:paraId="0000005F">
      <w:pPr>
        <w:widowControl w:val="0"/>
        <w:spacing w:line="480" w:lineRule="auto"/>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Padoa-Schioppa, E., Baietto, M., Massa, R., &amp; Bottoni, L. (2006). Bird communities as bioindicators: The focal species concept in agricultural landscapes. Ecological Indicators, 6, 83–93. https://doi.org/10.1016/j.ecolind.2005.08.006</w:t>
      </w:r>
    </w:p>
    <w:p w:rsidR="00000000" w:rsidDel="00000000" w:rsidP="00000000" w:rsidRDefault="00000000" w:rsidRPr="00000000" w14:paraId="00000060">
      <w:pPr>
        <w:widowControl w:val="0"/>
        <w:spacing w:line="480" w:lineRule="auto"/>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Paillet, Y., Archaux, F., du Puy, S., Bouget, C., Boulanger, V., Debaive, N., … Guilbert, E. (2018). The indicator side of tree microhabitats: A multi-taxon approach based on bats, birds and saproxylic beetles. Journal of Applied Ecology, 55, 2147–2159. https://doi.org/10.1111/1365-2664.13181</w:t>
      </w:r>
    </w:p>
    <w:p w:rsidR="00000000" w:rsidDel="00000000" w:rsidP="00000000" w:rsidRDefault="00000000" w:rsidRPr="00000000" w14:paraId="00000061">
      <w:pPr>
        <w:widowControl w:val="0"/>
        <w:spacing w:line="480" w:lineRule="auto"/>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Pierson, J. C., Mortelliti, A., Barton, P. S., Lane, P. W., &amp; Lindenmayer, D. B. (2016). Evaluating the effectiveness of overstory cover as a surrogate for bird community diversity and population trends. Ecological Indicators, 61, 790–798. https://doi.org/10.1016/j.ecolind.2015.10.031</w:t>
      </w:r>
    </w:p>
    <w:p w:rsidR="00000000" w:rsidDel="00000000" w:rsidP="00000000" w:rsidRDefault="00000000" w:rsidRPr="00000000" w14:paraId="00000062">
      <w:pPr>
        <w:widowControl w:val="0"/>
        <w:spacing w:line="480" w:lineRule="auto"/>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Core Team. (2019). R: A language and environment for statistical computing. Vienna, Austria: R Foundation for Statistical Computing. Retrieved from https://www.r-project.org/</w:t>
      </w:r>
    </w:p>
    <w:p w:rsidR="00000000" w:rsidDel="00000000" w:rsidP="00000000" w:rsidRDefault="00000000" w:rsidRPr="00000000" w14:paraId="00000063">
      <w:pPr>
        <w:widowControl w:val="0"/>
        <w:spacing w:line="480" w:lineRule="auto"/>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Rubal, M., Veiga, P., Vieira, R., &amp; Sousa-Pinto, I. (2011). Seasonal patterns of tidepool macroalgal assemblages in the North of Portugal. Consistence between species and functional group approaches. Journal of Sea Research, 66, 187–194. https://doi.org/10.1016/j.seares.2011.07.003</w:t>
      </w:r>
    </w:p>
    <w:p w:rsidR="00000000" w:rsidDel="00000000" w:rsidP="00000000" w:rsidRDefault="00000000" w:rsidRPr="00000000" w14:paraId="00000064">
      <w:pPr>
        <w:widowControl w:val="0"/>
        <w:spacing w:line="480" w:lineRule="auto"/>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Sebek, P., Barnouin, T., Brin, A., Brustel, H., Dufrêne, M., Gosselin, F., … Bouget, C. (2012). A test for assessment of saproxylic beetle biodiversity using subsets of “monitoring species.” Ecological Indicators, 20, 304–315. https://doi.org/10.1016/j.ecolind.2012.02.033</w:t>
      </w:r>
    </w:p>
    <w:p w:rsidR="00000000" w:rsidDel="00000000" w:rsidP="00000000" w:rsidRDefault="00000000" w:rsidRPr="00000000" w14:paraId="00000065">
      <w:pPr>
        <w:widowControl w:val="0"/>
        <w:spacing w:line="480" w:lineRule="auto"/>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Staudinger, M. D., Carter, S. L., Cross, M. S., Dubois, N. S., Emmett Duffy, J., Enquist, C., … Turner, W. (2013). Biodiversity in a changing climate : A synthesis of current and projected trends in the US. Frontiers in Ecology and the Environment, 11(9), 465–473. https://doi.org/10.1890/120272</w:t>
      </w:r>
    </w:p>
    <w:p w:rsidR="00000000" w:rsidDel="00000000" w:rsidP="00000000" w:rsidRDefault="00000000" w:rsidRPr="00000000" w14:paraId="00000066">
      <w:pPr>
        <w:widowControl w:val="0"/>
        <w:spacing w:line="480" w:lineRule="auto"/>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Stokes, M. D., Leichter, J. J., &amp; Genovese, S. J. (2010). Long-term declines in coral cover at Bonaire, Netherlands Antilles. Atoll Research Bulletin.</w:t>
      </w:r>
    </w:p>
    <w:p w:rsidR="00000000" w:rsidDel="00000000" w:rsidP="00000000" w:rsidRDefault="00000000" w:rsidRPr="00000000" w14:paraId="00000067">
      <w:pPr>
        <w:widowControl w:val="0"/>
        <w:spacing w:line="480" w:lineRule="auto"/>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Stork, N. E. (2010). Re-assessing current extinction rates. Biodiversity and Conservation, 19, 357–371. https://doi.org/10.1007/s10531-009-9761-9</w:t>
      </w:r>
    </w:p>
    <w:p w:rsidR="00000000" w:rsidDel="00000000" w:rsidP="00000000" w:rsidRDefault="00000000" w:rsidRPr="00000000" w14:paraId="00000068">
      <w:pPr>
        <w:widowControl w:val="0"/>
        <w:spacing w:line="480" w:lineRule="auto"/>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Venables, W. N., &amp; Ripley, B. D. (2002). Modern applied statistics with S (Fourth). New York, New York: Springer. Retrieved from http://www.stats.ox.ac.uk/pub/MASS4</w:t>
      </w:r>
    </w:p>
    <w:p w:rsidR="00000000" w:rsidDel="00000000" w:rsidP="00000000" w:rsidRDefault="00000000" w:rsidRPr="00000000" w14:paraId="00000069">
      <w:pPr>
        <w:widowControl w:val="0"/>
        <w:spacing w:line="480" w:lineRule="auto"/>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Ward, T. J., Vanderklift, M. A., Nicholls, A. O., &amp; Kenchington, R. A. (1999). Selecting marine reserves using habitats and species assemblages as surrogates for biological diversity. Ecological Applications, 9(2), 691–698.</w:t>
      </w:r>
    </w:p>
    <w:p w:rsidR="00000000" w:rsidDel="00000000" w:rsidP="00000000" w:rsidRDefault="00000000" w:rsidRPr="00000000" w14:paraId="0000006A">
      <w:pPr>
        <w:widowControl w:val="0"/>
        <w:spacing w:line="480" w:lineRule="auto"/>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Wiens, J. A. (1989). Spatial scaling in ecology. Functional Ecology, 3(4), 385–397.</w:t>
      </w:r>
    </w:p>
    <w:p w:rsidR="00000000" w:rsidDel="00000000" w:rsidP="00000000" w:rsidRDefault="00000000" w:rsidRPr="00000000" w14:paraId="0000006B">
      <w:pPr>
        <w:widowControl w:val="0"/>
        <w:spacing w:line="480" w:lineRule="auto"/>
        <w:ind w:left="480" w:hanging="48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widowControl w:val="0"/>
        <w:spacing w:line="480" w:lineRule="auto"/>
        <w:ind w:left="480" w:hanging="48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widowControl w:val="0"/>
        <w:spacing w:line="480" w:lineRule="auto"/>
        <w:ind w:left="480" w:hanging="48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6E">
      <w:pPr>
        <w:widowControl w:val="0"/>
        <w:spacing w:line="480" w:lineRule="auto"/>
        <w:ind w:left="480" w:hanging="480"/>
        <w:rPr/>
      </w:pPr>
      <w:commentRangeStart w:id="31"/>
      <w:r w:rsidDel="00000000" w:rsidR="00000000" w:rsidRPr="00000000">
        <w:rPr>
          <w:rFonts w:ascii="Times New Roman" w:cs="Times New Roman" w:eastAsia="Times New Roman" w:hAnsi="Times New Roman"/>
          <w:rtl w:val="0"/>
        </w:rPr>
        <w:t xml:space="preserve">Table</w:t>
      </w:r>
      <w:commentRangeEnd w:id="31"/>
      <w:r w:rsidDel="00000000" w:rsidR="00000000" w:rsidRPr="00000000">
        <w:commentReference w:id="31"/>
      </w:r>
      <w:r w:rsidDel="00000000" w:rsidR="00000000" w:rsidRPr="00000000">
        <w:rPr>
          <w:rFonts w:ascii="Times New Roman" w:cs="Times New Roman" w:eastAsia="Times New Roman" w:hAnsi="Times New Roman"/>
          <w:rtl w:val="0"/>
        </w:rPr>
        <w:t xml:space="preserve"> </w:t>
      </w:r>
      <w:commentRangeStart w:id="32"/>
      <w:r w:rsidDel="00000000" w:rsidR="00000000" w:rsidRPr="00000000">
        <w:rPr>
          <w:rFonts w:ascii="Times New Roman" w:cs="Times New Roman" w:eastAsia="Times New Roman" w:hAnsi="Times New Roman"/>
          <w:rtl w:val="0"/>
        </w:rPr>
        <w:t xml:space="preserve">1</w:t>
      </w:r>
      <w:commentRangeEnd w:id="32"/>
      <w:r w:rsidDel="00000000" w:rsidR="00000000" w:rsidRPr="00000000">
        <w:commentReference w:id="32"/>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AICc table of models with coral richness as the response variable (target) and the candidate surrogates.</w:t>
      </w:r>
    </w:p>
    <w:p w:rsidR="00000000" w:rsidDel="00000000" w:rsidP="00000000" w:rsidRDefault="00000000" w:rsidRPr="00000000" w14:paraId="0000006F">
      <w:pPr>
        <w:widowControl w:val="0"/>
        <w:spacing w:line="480" w:lineRule="auto"/>
        <w:ind w:left="480" w:hanging="480"/>
        <w:rPr/>
      </w:pPr>
      <w:r w:rsidDel="00000000" w:rsidR="00000000" w:rsidRPr="00000000">
        <w:rPr/>
        <w:drawing>
          <wp:inline distB="114300" distT="114300" distL="114300" distR="114300">
            <wp:extent cx="4810125" cy="800100"/>
            <wp:effectExtent b="0" l="0" r="0" t="0"/>
            <wp:docPr id="1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81012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widowControl w:val="0"/>
        <w:ind w:left="480" w:hanging="480"/>
        <w:rPr/>
      </w:pPr>
      <w:r w:rsidDel="00000000" w:rsidR="00000000" w:rsidRPr="00000000">
        <w:rPr>
          <w:rtl w:val="0"/>
        </w:rPr>
        <w:t xml:space="preserve">Table 2. AICc table of models with sponge richness as the response variable (target) and the candidate surrogates.</w:t>
      </w:r>
    </w:p>
    <w:p w:rsidR="00000000" w:rsidDel="00000000" w:rsidP="00000000" w:rsidRDefault="00000000" w:rsidRPr="00000000" w14:paraId="00000071">
      <w:pPr>
        <w:widowControl w:val="0"/>
        <w:ind w:left="480" w:hanging="480"/>
        <w:rPr/>
      </w:pPr>
      <w:r w:rsidDel="00000000" w:rsidR="00000000" w:rsidRPr="00000000">
        <w:rPr/>
        <w:drawing>
          <wp:inline distB="114300" distT="114300" distL="114300" distR="114300">
            <wp:extent cx="4733925" cy="800100"/>
            <wp:effectExtent b="0" l="0" r="0" t="0"/>
            <wp:docPr id="21"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473392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widowControl w:val="0"/>
        <w:ind w:left="480" w:hanging="480"/>
        <w:rPr/>
      </w:pPr>
      <w:r w:rsidDel="00000000" w:rsidR="00000000" w:rsidRPr="00000000">
        <w:rPr>
          <w:rtl w:val="0"/>
        </w:rPr>
        <w:t xml:space="preserve">Table 3. AICc table of models with fish richness as the response variable (target) and the candidate surrogates.</w:t>
      </w:r>
    </w:p>
    <w:p w:rsidR="00000000" w:rsidDel="00000000" w:rsidP="00000000" w:rsidRDefault="00000000" w:rsidRPr="00000000" w14:paraId="00000073">
      <w:pPr>
        <w:widowControl w:val="0"/>
        <w:ind w:left="480" w:hanging="480"/>
        <w:rPr/>
      </w:pPr>
      <w:r w:rsidDel="00000000" w:rsidR="00000000" w:rsidRPr="00000000">
        <w:rPr/>
        <w:drawing>
          <wp:inline distB="114300" distT="114300" distL="114300" distR="114300">
            <wp:extent cx="4810125" cy="800100"/>
            <wp:effectExtent b="0" l="0" r="0" t="0"/>
            <wp:docPr id="1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81012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widowControl w:val="0"/>
        <w:spacing w:line="480" w:lineRule="auto"/>
        <w:ind w:left="480" w:hanging="480"/>
        <w:rPr/>
      </w:pPr>
      <w:r w:rsidDel="00000000" w:rsidR="00000000" w:rsidRPr="00000000">
        <w:rPr>
          <w:rtl w:val="0"/>
        </w:rPr>
        <w:t xml:space="preserve">Table 4. AICc table of models with combined richness as the response variable (target) and the candidate surrogates.</w:t>
      </w:r>
    </w:p>
    <w:p w:rsidR="00000000" w:rsidDel="00000000" w:rsidP="00000000" w:rsidRDefault="00000000" w:rsidRPr="00000000" w14:paraId="00000075">
      <w:pPr>
        <w:widowControl w:val="0"/>
        <w:spacing w:line="480" w:lineRule="auto"/>
        <w:ind w:left="480" w:hanging="480"/>
        <w:rPr/>
      </w:pPr>
      <w:r w:rsidDel="00000000" w:rsidR="00000000" w:rsidRPr="00000000">
        <w:rPr/>
        <w:drawing>
          <wp:inline distB="114300" distT="114300" distL="114300" distR="114300">
            <wp:extent cx="4829175" cy="800100"/>
            <wp:effectExtent b="0" l="0" r="0" t="0"/>
            <wp:docPr id="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82917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widowControl w:val="0"/>
        <w:spacing w:line="480" w:lineRule="auto"/>
        <w:ind w:left="480" w:hanging="480"/>
        <w:rPr/>
      </w:pPr>
      <w:r w:rsidDel="00000000" w:rsidR="00000000" w:rsidRPr="00000000">
        <w:rPr>
          <w:rtl w:val="0"/>
        </w:rPr>
        <w:t xml:space="preserve">Table 5. AICc</w:t>
      </w:r>
      <w:r w:rsidDel="00000000" w:rsidR="00000000" w:rsidRPr="00000000">
        <w:rPr>
          <w:rFonts w:ascii="Times New Roman" w:cs="Times New Roman" w:eastAsia="Times New Roman" w:hAnsi="Times New Roman"/>
          <w:rtl w:val="0"/>
        </w:rPr>
        <w:t xml:space="preserve"> table of models with coral richness as the response variable (target) and coral cover as the candidate surrogate.</w:t>
      </w:r>
      <w:r w:rsidDel="00000000" w:rsidR="00000000" w:rsidRPr="00000000">
        <w:rPr>
          <w:rtl w:val="0"/>
        </w:rPr>
      </w:r>
    </w:p>
    <w:p w:rsidR="00000000" w:rsidDel="00000000" w:rsidP="00000000" w:rsidRDefault="00000000" w:rsidRPr="00000000" w14:paraId="00000077">
      <w:pPr>
        <w:widowControl w:val="0"/>
        <w:spacing w:line="480" w:lineRule="auto"/>
        <w:ind w:left="0" w:firstLine="0"/>
        <w:rPr/>
      </w:pPr>
      <w:commentRangeStart w:id="33"/>
      <w:r w:rsidDel="00000000" w:rsidR="00000000" w:rsidRPr="00000000">
        <w:rPr/>
        <w:drawing>
          <wp:inline distB="114300" distT="114300" distL="114300" distR="114300">
            <wp:extent cx="5943600" cy="1333500"/>
            <wp:effectExtent b="0" l="0" r="0" t="0"/>
            <wp:docPr id="20"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43600" cy="1333500"/>
                    </a:xfrm>
                    <a:prstGeom prst="rect"/>
                    <a:ln/>
                  </pic:spPr>
                </pic:pic>
              </a:graphicData>
            </a:graphic>
          </wp:inline>
        </w:drawing>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078">
      <w:pPr>
        <w:widowControl w:val="0"/>
        <w:spacing w:line="480" w:lineRule="auto"/>
        <w:ind w:left="480" w:hanging="480"/>
        <w:rPr/>
      </w:pPr>
      <w:r w:rsidDel="00000000" w:rsidR="00000000" w:rsidRPr="00000000">
        <w:rPr>
          <w:rFonts w:ascii="Times New Roman" w:cs="Times New Roman" w:eastAsia="Times New Roman" w:hAnsi="Times New Roman"/>
          <w:rtl w:val="0"/>
        </w:rPr>
        <w:t xml:space="preserve">Table </w:t>
      </w:r>
      <w:r w:rsidDel="00000000" w:rsidR="00000000" w:rsidRPr="00000000">
        <w:rPr>
          <w:rtl w:val="0"/>
        </w:rPr>
        <w:t xml:space="preserve">6</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AICc</w:t>
      </w:r>
      <w:r w:rsidDel="00000000" w:rsidR="00000000" w:rsidRPr="00000000">
        <w:rPr>
          <w:rFonts w:ascii="Times New Roman" w:cs="Times New Roman" w:eastAsia="Times New Roman" w:hAnsi="Times New Roman"/>
          <w:rtl w:val="0"/>
        </w:rPr>
        <w:t xml:space="preserve"> table of models with sponge richness as the response variable</w:t>
      </w:r>
      <w:r w:rsidDel="00000000" w:rsidR="00000000" w:rsidRPr="00000000">
        <w:rPr>
          <w:rtl w:val="0"/>
        </w:rPr>
        <w:t xml:space="preserve"> (target)</w:t>
      </w:r>
      <w:r w:rsidDel="00000000" w:rsidR="00000000" w:rsidRPr="00000000">
        <w:rPr>
          <w:rFonts w:ascii="Times New Roman" w:cs="Times New Roman" w:eastAsia="Times New Roman" w:hAnsi="Times New Roman"/>
          <w:rtl w:val="0"/>
        </w:rPr>
        <w:t xml:space="preserve"> and coral cover as the candidate surrogate.</w:t>
      </w:r>
      <w:r w:rsidDel="00000000" w:rsidR="00000000" w:rsidRPr="00000000">
        <w:rPr>
          <w:rtl w:val="0"/>
        </w:rPr>
      </w:r>
    </w:p>
    <w:p w:rsidR="00000000" w:rsidDel="00000000" w:rsidP="00000000" w:rsidRDefault="00000000" w:rsidRPr="00000000" w14:paraId="00000079">
      <w:pPr>
        <w:widowControl w:val="0"/>
        <w:spacing w:line="480" w:lineRule="auto"/>
        <w:ind w:left="480" w:hanging="480"/>
        <w:rPr/>
      </w:pPr>
      <w:r w:rsidDel="00000000" w:rsidR="00000000" w:rsidRPr="00000000">
        <w:rPr/>
        <w:drawing>
          <wp:inline distB="114300" distT="114300" distL="114300" distR="114300">
            <wp:extent cx="5943600" cy="1343025"/>
            <wp:effectExtent b="0" l="0" r="0" t="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widowControl w:val="0"/>
        <w:spacing w:line="480" w:lineRule="auto"/>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w:t>
      </w:r>
      <w:r w:rsidDel="00000000" w:rsidR="00000000" w:rsidRPr="00000000">
        <w:rPr>
          <w:rtl w:val="0"/>
        </w:rPr>
        <w:t xml:space="preserve">7</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AICc</w:t>
      </w:r>
      <w:r w:rsidDel="00000000" w:rsidR="00000000" w:rsidRPr="00000000">
        <w:rPr>
          <w:rFonts w:ascii="Times New Roman" w:cs="Times New Roman" w:eastAsia="Times New Roman" w:hAnsi="Times New Roman"/>
          <w:rtl w:val="0"/>
        </w:rPr>
        <w:t xml:space="preserve"> table of models with fish richness as the response variable</w:t>
      </w:r>
      <w:r w:rsidDel="00000000" w:rsidR="00000000" w:rsidRPr="00000000">
        <w:rPr>
          <w:rtl w:val="0"/>
        </w:rPr>
        <w:t xml:space="preserve"> (target)</w:t>
      </w:r>
      <w:r w:rsidDel="00000000" w:rsidR="00000000" w:rsidRPr="00000000">
        <w:rPr>
          <w:rFonts w:ascii="Times New Roman" w:cs="Times New Roman" w:eastAsia="Times New Roman" w:hAnsi="Times New Roman"/>
          <w:rtl w:val="0"/>
        </w:rPr>
        <w:t xml:space="preserve"> and rugosity as the candidate surrogate.</w:t>
      </w:r>
    </w:p>
    <w:p w:rsidR="00000000" w:rsidDel="00000000" w:rsidP="00000000" w:rsidRDefault="00000000" w:rsidRPr="00000000" w14:paraId="0000007B">
      <w:pPr>
        <w:widowControl w:val="0"/>
        <w:spacing w:line="480" w:lineRule="auto"/>
        <w:ind w:left="480" w:hanging="480"/>
        <w:rPr>
          <w:rFonts w:ascii="Times New Roman" w:cs="Times New Roman" w:eastAsia="Times New Roman" w:hAnsi="Times New Roman"/>
        </w:rPr>
      </w:pPr>
      <w:r w:rsidDel="00000000" w:rsidR="00000000" w:rsidRPr="00000000">
        <w:rPr/>
        <w:drawing>
          <wp:inline distB="114300" distT="114300" distL="114300" distR="114300">
            <wp:extent cx="5876925" cy="1400175"/>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87692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widowControl w:val="0"/>
        <w:spacing w:line="480" w:lineRule="auto"/>
        <w:ind w:left="480" w:hanging="480"/>
        <w:rPr/>
      </w:pPr>
      <w:r w:rsidDel="00000000" w:rsidR="00000000" w:rsidRPr="00000000">
        <w:br w:type="page"/>
      </w:r>
      <w:r w:rsidDel="00000000" w:rsidR="00000000" w:rsidRPr="00000000">
        <w:rPr>
          <w:rtl w:val="0"/>
        </w:rPr>
      </w:r>
    </w:p>
    <w:p w:rsidR="00000000" w:rsidDel="00000000" w:rsidP="00000000" w:rsidRDefault="00000000" w:rsidRPr="00000000" w14:paraId="0000007D">
      <w:pPr>
        <w:widowControl w:val="0"/>
        <w:spacing w:line="480" w:lineRule="auto"/>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w:t>
      </w:r>
      <w:r w:rsidDel="00000000" w:rsidR="00000000" w:rsidRPr="00000000">
        <w:rPr>
          <w:rtl w:val="0"/>
        </w:rPr>
        <w:t xml:space="preserve">8</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AICc</w:t>
      </w:r>
      <w:r w:rsidDel="00000000" w:rsidR="00000000" w:rsidRPr="00000000">
        <w:rPr>
          <w:rFonts w:ascii="Times New Roman" w:cs="Times New Roman" w:eastAsia="Times New Roman" w:hAnsi="Times New Roman"/>
          <w:rtl w:val="0"/>
        </w:rPr>
        <w:t xml:space="preserve"> table of models with combined richness as the response variable</w:t>
      </w:r>
      <w:r w:rsidDel="00000000" w:rsidR="00000000" w:rsidRPr="00000000">
        <w:rPr>
          <w:rtl w:val="0"/>
        </w:rPr>
        <w:t xml:space="preserve"> (target)</w:t>
      </w:r>
      <w:r w:rsidDel="00000000" w:rsidR="00000000" w:rsidRPr="00000000">
        <w:rPr>
          <w:rFonts w:ascii="Times New Roman" w:cs="Times New Roman" w:eastAsia="Times New Roman" w:hAnsi="Times New Roman"/>
          <w:rtl w:val="0"/>
        </w:rPr>
        <w:t xml:space="preserve"> and rugosity as the candidate surrogate.</w:t>
      </w:r>
    </w:p>
    <w:p w:rsidR="00000000" w:rsidDel="00000000" w:rsidP="00000000" w:rsidRDefault="00000000" w:rsidRPr="00000000" w14:paraId="0000007E">
      <w:pPr>
        <w:widowControl w:val="0"/>
        <w:spacing w:line="480" w:lineRule="auto"/>
        <w:ind w:left="480" w:hanging="480"/>
        <w:rPr/>
      </w:pPr>
      <w:r w:rsidDel="00000000" w:rsidR="00000000" w:rsidRPr="00000000">
        <w:rPr/>
        <w:drawing>
          <wp:inline distB="114300" distT="114300" distL="114300" distR="114300">
            <wp:extent cx="5876925" cy="1400175"/>
            <wp:effectExtent b="0" l="0" r="0" t="0"/>
            <wp:docPr id="1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87692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widowControl w:val="0"/>
        <w:spacing w:line="480" w:lineRule="auto"/>
        <w:ind w:left="480" w:hanging="480"/>
        <w:rPr>
          <w:rFonts w:ascii="Times New Roman" w:cs="Times New Roman" w:eastAsia="Times New Roman" w:hAnsi="Times New Roman"/>
        </w:rPr>
      </w:pPr>
      <w:r w:rsidDel="00000000" w:rsidR="00000000" w:rsidRPr="00000000">
        <w:br w:type="column"/>
      </w:r>
      <w:commentRangeStart w:id="34"/>
      <w:commentRangeStart w:id="35"/>
      <w:commentRangeStart w:id="36"/>
      <w:r w:rsidDel="00000000" w:rsidR="00000000" w:rsidRPr="00000000">
        <w:rPr>
          <w:rFonts w:ascii="Times New Roman" w:cs="Times New Roman" w:eastAsia="Times New Roman" w:hAnsi="Times New Roman"/>
        </w:rPr>
        <w:drawing>
          <wp:inline distB="0" distT="0" distL="0" distR="0">
            <wp:extent cx="3200400" cy="2400300"/>
            <wp:effectExtent b="0" l="0" r="0" t="0"/>
            <wp:docPr id="16"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200400" cy="2400300"/>
                    </a:xfrm>
                    <a:prstGeom prst="rect"/>
                    <a:ln/>
                  </pic:spPr>
                </pic:pic>
              </a:graphicData>
            </a:graphic>
          </wp:inline>
        </w:drawing>
      </w:r>
      <w:commentRangeEnd w:id="34"/>
      <w:r w:rsidDel="00000000" w:rsidR="00000000" w:rsidRPr="00000000">
        <w:commentReference w:id="34"/>
      </w:r>
      <w:commentRangeEnd w:id="35"/>
      <w:r w:rsidDel="00000000" w:rsidR="00000000" w:rsidRPr="00000000">
        <w:commentReference w:id="35"/>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080">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A map of Guana Island, British Virgin Islands, showing the eight study sites: (1) Grand Ghut, (2) Pelican Ghut, (3) Bigelow Beach, (4) Monkey Point, (5) White Bay, (6) Iguana Head, (7) Crab Cove, and (8) Long </w:t>
      </w:r>
      <w:r w:rsidDel="00000000" w:rsidR="00000000" w:rsidRPr="00000000">
        <w:rPr>
          <w:rFonts w:ascii="Times New Roman" w:cs="Times New Roman" w:eastAsia="Times New Roman" w:hAnsi="Times New Roman"/>
          <w:rtl w:val="0"/>
        </w:rPr>
        <w:t xml:space="preserve">Point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2">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widowControl w:val="0"/>
        <w:spacing w:line="480" w:lineRule="auto"/>
        <w:ind w:left="480" w:hanging="480"/>
        <w:rPr>
          <w:rFonts w:ascii="Times New Roman" w:cs="Times New Roman" w:eastAsia="Times New Roman" w:hAnsi="Times New Roman"/>
        </w:rPr>
      </w:pPr>
      <w:r w:rsidDel="00000000" w:rsidR="00000000" w:rsidRPr="00000000">
        <w:rPr/>
        <w:drawing>
          <wp:inline distB="114300" distT="114300" distL="114300" distR="114300">
            <wp:extent cx="5438582" cy="6338888"/>
            <wp:effectExtent b="0" l="0" r="0" t="0"/>
            <wp:docPr id="8"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5438582" cy="633888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widowControl w:val="0"/>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w:t>
      </w:r>
      <w:r w:rsidDel="00000000" w:rsidR="00000000" w:rsidRPr="00000000">
        <w:rPr>
          <w:rtl w:val="0"/>
        </w:rPr>
        <w:t xml:space="preserve">2</w:t>
      </w:r>
      <w:r w:rsidDel="00000000" w:rsidR="00000000" w:rsidRPr="00000000">
        <w:rPr>
          <w:rFonts w:ascii="Times New Roman" w:cs="Times New Roman" w:eastAsia="Times New Roman" w:hAnsi="Times New Roman"/>
          <w:rtl w:val="0"/>
        </w:rPr>
        <w:t xml:space="preserve">. Plots of the targets (rows) and candidate surrogates (columns). 95% con</w:t>
      </w:r>
      <w:r w:rsidDel="00000000" w:rsidR="00000000" w:rsidRPr="00000000">
        <w:rPr>
          <w:rtl w:val="0"/>
        </w:rPr>
        <w:t xml:space="preserve">fidence intervals shown. </w:t>
      </w:r>
      <w:r w:rsidDel="00000000" w:rsidR="00000000" w:rsidRPr="00000000">
        <w:rPr>
          <w:rFonts w:ascii="Times New Roman" w:cs="Times New Roman" w:eastAsia="Times New Roman" w:hAnsi="Times New Roman"/>
          <w:rtl w:val="0"/>
        </w:rPr>
        <w:t xml:space="preserve">Coral cover </w:t>
      </w:r>
      <w:r w:rsidDel="00000000" w:rsidR="00000000" w:rsidRPr="00000000">
        <w:rPr>
          <w:rFonts w:ascii="Times New Roman" w:cs="Times New Roman" w:eastAsia="Times New Roman" w:hAnsi="Times New Roman"/>
          <w:rtl w:val="0"/>
        </w:rPr>
        <w:t xml:space="preserve">is</w:t>
      </w:r>
      <w:r w:rsidDel="00000000" w:rsidR="00000000" w:rsidRPr="00000000">
        <w:rPr>
          <w:rFonts w:ascii="Times New Roman" w:cs="Times New Roman" w:eastAsia="Times New Roman" w:hAnsi="Times New Roman"/>
          <w:rtl w:val="0"/>
        </w:rPr>
        <w:t xml:space="preserve"> the best predictor of coral richness and sponge richness of these candidate surrogates. Rugosity is the best predictor of fish richness and combined richness of these candidate surrogates (Auguie, 2017; Wickham, 2016).</w:t>
      </w:r>
    </w:p>
    <w:p w:rsidR="00000000" w:rsidDel="00000000" w:rsidP="00000000" w:rsidRDefault="00000000" w:rsidRPr="00000000" w14:paraId="00000085">
      <w:pPr>
        <w:widowControl w:val="0"/>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widowControl w:val="0"/>
        <w:spacing w:line="480" w:lineRule="auto"/>
        <w:ind w:left="0" w:firstLine="0"/>
        <w:rPr>
          <w:rFonts w:ascii="Times New Roman" w:cs="Times New Roman" w:eastAsia="Times New Roman" w:hAnsi="Times New Roman"/>
        </w:rPr>
      </w:pPr>
      <w:r w:rsidDel="00000000" w:rsidR="00000000" w:rsidRPr="00000000">
        <w:rPr/>
        <w:drawing>
          <wp:inline distB="114300" distT="114300" distL="114300" distR="114300">
            <wp:extent cx="5943600" cy="4457700"/>
            <wp:effectExtent b="0" l="0" r="0" t="0"/>
            <wp:docPr id="13" name="image17.jpg"/>
            <a:graphic>
              <a:graphicData uri="http://schemas.openxmlformats.org/drawingml/2006/picture">
                <pic:pic>
                  <pic:nvPicPr>
                    <pic:cNvPr id="0" name="image17.jpg"/>
                    <pic:cNvPicPr preferRelativeResize="0"/>
                  </pic:nvPicPr>
                  <pic:blipFill>
                    <a:blip r:embed="rId1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widowControl w:val="0"/>
        <w:spacing w:line="480" w:lineRule="auto"/>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w:t>
      </w:r>
      <w:r w:rsidDel="00000000" w:rsidR="00000000" w:rsidRPr="00000000">
        <w:rPr>
          <w:rtl w:val="0"/>
        </w:rPr>
        <w:t xml:space="preserve">3</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Percent cor</w:t>
      </w:r>
      <w:r w:rsidDel="00000000" w:rsidR="00000000" w:rsidRPr="00000000">
        <w:rPr>
          <w:rFonts w:ascii="Times New Roman" w:cs="Times New Roman" w:eastAsia="Times New Roman" w:hAnsi="Times New Roman"/>
          <w:rtl w:val="0"/>
        </w:rPr>
        <w:t xml:space="preserve">al cover and coral richness over time</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(Wickham, 2016).</w:t>
      </w:r>
    </w:p>
    <w:p w:rsidR="00000000" w:rsidDel="00000000" w:rsidP="00000000" w:rsidRDefault="00000000" w:rsidRPr="00000000" w14:paraId="00000088">
      <w:pPr>
        <w:widowControl w:val="0"/>
        <w:spacing w:line="480" w:lineRule="auto"/>
        <w:ind w:left="480" w:hanging="480"/>
        <w:rPr/>
      </w:pPr>
      <w:r w:rsidDel="00000000" w:rsidR="00000000" w:rsidRPr="00000000">
        <w:rPr/>
        <w:drawing>
          <wp:inline distB="114300" distT="114300" distL="114300" distR="114300">
            <wp:extent cx="5943600" cy="4457700"/>
            <wp:effectExtent b="0" l="0" r="0" t="0"/>
            <wp:docPr id="18"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widowControl w:val="0"/>
        <w:spacing w:line="480" w:lineRule="auto"/>
        <w:ind w:left="480" w:hanging="480"/>
        <w:rPr/>
      </w:pPr>
      <w:r w:rsidDel="00000000" w:rsidR="00000000" w:rsidRPr="00000000">
        <w:rPr>
          <w:rtl w:val="0"/>
        </w:rPr>
        <w:t xml:space="preserve">Figure 4. Percent coral cover and sponge richness across sites (Wickham, 2016).</w:t>
      </w:r>
    </w:p>
    <w:p w:rsidR="00000000" w:rsidDel="00000000" w:rsidP="00000000" w:rsidRDefault="00000000" w:rsidRPr="00000000" w14:paraId="0000008A">
      <w:pPr>
        <w:widowControl w:val="0"/>
        <w:spacing w:line="480" w:lineRule="auto"/>
        <w:ind w:left="480" w:hanging="480"/>
        <w:rPr/>
      </w:pPr>
      <w:r w:rsidDel="00000000" w:rsidR="00000000" w:rsidRPr="00000000">
        <w:rPr/>
        <w:drawing>
          <wp:inline distB="114300" distT="114300" distL="114300" distR="114300">
            <wp:extent cx="5943600" cy="4457700"/>
            <wp:effectExtent b="0" l="0" r="0" t="0"/>
            <wp:docPr id="14"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widowControl w:val="0"/>
        <w:spacing w:line="480" w:lineRule="auto"/>
        <w:ind w:left="480" w:hanging="480"/>
        <w:rPr/>
      </w:pPr>
      <w:r w:rsidDel="00000000" w:rsidR="00000000" w:rsidRPr="00000000">
        <w:rPr>
          <w:rFonts w:ascii="Times New Roman" w:cs="Times New Roman" w:eastAsia="Times New Roman" w:hAnsi="Times New Roman"/>
          <w:rtl w:val="0"/>
        </w:rPr>
        <w:t xml:space="preserve">Figure 5. </w:t>
      </w:r>
      <w:r w:rsidDel="00000000" w:rsidR="00000000" w:rsidRPr="00000000">
        <w:rPr>
          <w:rtl w:val="0"/>
        </w:rPr>
        <w:t xml:space="preserve">Percent coral cover and sponge richness over time (Wickham, 2016).</w:t>
      </w:r>
    </w:p>
    <w:p w:rsidR="00000000" w:rsidDel="00000000" w:rsidP="00000000" w:rsidRDefault="00000000" w:rsidRPr="00000000" w14:paraId="0000008C">
      <w:pPr>
        <w:widowControl w:val="0"/>
        <w:spacing w:line="480" w:lineRule="auto"/>
        <w:ind w:left="480" w:hanging="480"/>
        <w:rPr/>
      </w:pPr>
      <w:r w:rsidDel="00000000" w:rsidR="00000000" w:rsidRPr="00000000">
        <w:rPr>
          <w:rtl w:val="0"/>
        </w:rPr>
      </w:r>
    </w:p>
    <w:p w:rsidR="00000000" w:rsidDel="00000000" w:rsidP="00000000" w:rsidRDefault="00000000" w:rsidRPr="00000000" w14:paraId="0000008D">
      <w:pPr>
        <w:widowControl w:val="0"/>
        <w:spacing w:line="480" w:lineRule="auto"/>
        <w:ind w:left="480" w:hanging="480"/>
        <w:rPr>
          <w:rFonts w:ascii="Times New Roman" w:cs="Times New Roman" w:eastAsia="Times New Roman" w:hAnsi="Times New Roman"/>
        </w:rPr>
      </w:pPr>
      <w:r w:rsidDel="00000000" w:rsidR="00000000" w:rsidRPr="00000000">
        <w:rPr/>
        <w:drawing>
          <wp:inline distB="114300" distT="114300" distL="114300" distR="114300">
            <wp:extent cx="5943600" cy="4457700"/>
            <wp:effectExtent b="0" l="0" r="0" t="0"/>
            <wp:docPr id="7" name="image8.jpg"/>
            <a:graphic>
              <a:graphicData uri="http://schemas.openxmlformats.org/drawingml/2006/picture">
                <pic:pic>
                  <pic:nvPicPr>
                    <pic:cNvPr id="0" name="image8.jpg"/>
                    <pic:cNvPicPr preferRelativeResize="0"/>
                  </pic:nvPicPr>
                  <pic:blipFill>
                    <a:blip r:embed="rId2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widowControl w:val="0"/>
        <w:spacing w:line="480" w:lineRule="auto"/>
        <w:ind w:left="480" w:hanging="480"/>
        <w:rPr/>
      </w:pPr>
      <w:r w:rsidDel="00000000" w:rsidR="00000000" w:rsidRPr="00000000">
        <w:rPr>
          <w:rFonts w:ascii="Times New Roman" w:cs="Times New Roman" w:eastAsia="Times New Roman" w:hAnsi="Times New Roman"/>
          <w:rtl w:val="0"/>
        </w:rPr>
        <w:t xml:space="preserve">Figure 6. </w:t>
      </w:r>
      <w:r w:rsidDel="00000000" w:rsidR="00000000" w:rsidRPr="00000000">
        <w:rPr>
          <w:rtl w:val="0"/>
        </w:rPr>
        <w:t xml:space="preserve">Rugosity and fish richness over time (Wickham, 2016).</w:t>
      </w:r>
    </w:p>
    <w:p w:rsidR="00000000" w:rsidDel="00000000" w:rsidP="00000000" w:rsidRDefault="00000000" w:rsidRPr="00000000" w14:paraId="0000008F">
      <w:pPr>
        <w:widowControl w:val="0"/>
        <w:spacing w:line="480" w:lineRule="auto"/>
        <w:ind w:left="480" w:hanging="480"/>
        <w:rPr/>
      </w:pPr>
      <w:r w:rsidDel="00000000" w:rsidR="00000000" w:rsidRPr="00000000">
        <w:rPr>
          <w:rtl w:val="0"/>
        </w:rPr>
      </w:r>
    </w:p>
    <w:p w:rsidR="00000000" w:rsidDel="00000000" w:rsidP="00000000" w:rsidRDefault="00000000" w:rsidRPr="00000000" w14:paraId="00000090">
      <w:pPr>
        <w:widowControl w:val="0"/>
        <w:spacing w:line="480" w:lineRule="auto"/>
        <w:ind w:left="480" w:hanging="480"/>
        <w:rPr/>
      </w:pPr>
      <w:r w:rsidDel="00000000" w:rsidR="00000000" w:rsidRPr="00000000">
        <w:rPr/>
        <w:drawing>
          <wp:inline distB="114300" distT="114300" distL="114300" distR="114300">
            <wp:extent cx="5943600" cy="4457700"/>
            <wp:effectExtent b="0" l="0" r="0" t="0"/>
            <wp:docPr id="15" name="image21.jpg"/>
            <a:graphic>
              <a:graphicData uri="http://schemas.openxmlformats.org/drawingml/2006/picture">
                <pic:pic>
                  <pic:nvPicPr>
                    <pic:cNvPr id="0" name="image21.jpg"/>
                    <pic:cNvPicPr preferRelativeResize="0"/>
                  </pic:nvPicPr>
                  <pic:blipFill>
                    <a:blip r:embed="rId2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widowControl w:val="0"/>
        <w:ind w:left="480" w:hanging="480"/>
        <w:rPr/>
      </w:pPr>
      <w:r w:rsidDel="00000000" w:rsidR="00000000" w:rsidRPr="00000000">
        <w:rPr>
          <w:rtl w:val="0"/>
        </w:rPr>
        <w:t xml:space="preserve">Figure 7. Rugosity and the sum of richnesses across all three major taxonomic groups (coral, fish, and sponge) across sites (Wickham, 2016).</w:t>
      </w:r>
    </w:p>
    <w:p w:rsidR="00000000" w:rsidDel="00000000" w:rsidP="00000000" w:rsidRDefault="00000000" w:rsidRPr="00000000" w14:paraId="00000092">
      <w:pPr>
        <w:widowControl w:val="0"/>
        <w:spacing w:line="480" w:lineRule="auto"/>
        <w:ind w:left="480" w:hanging="480"/>
        <w:rPr/>
      </w:pPr>
      <w:r w:rsidDel="00000000" w:rsidR="00000000" w:rsidRPr="00000000">
        <w:rPr>
          <w:rtl w:val="0"/>
        </w:rPr>
      </w:r>
    </w:p>
    <w:p w:rsidR="00000000" w:rsidDel="00000000" w:rsidP="00000000" w:rsidRDefault="00000000" w:rsidRPr="00000000" w14:paraId="00000093">
      <w:pPr>
        <w:widowControl w:val="0"/>
        <w:spacing w:line="480" w:lineRule="auto"/>
        <w:ind w:left="480" w:hanging="480"/>
        <w:rPr/>
      </w:pPr>
      <w:r w:rsidDel="00000000" w:rsidR="00000000" w:rsidRPr="00000000">
        <w:rPr/>
        <w:drawing>
          <wp:inline distB="114300" distT="114300" distL="114300" distR="114300">
            <wp:extent cx="5943600" cy="4457700"/>
            <wp:effectExtent b="0" l="0" r="0" t="0"/>
            <wp:docPr id="5" name="image9.jpg"/>
            <a:graphic>
              <a:graphicData uri="http://schemas.openxmlformats.org/drawingml/2006/picture">
                <pic:pic>
                  <pic:nvPicPr>
                    <pic:cNvPr id="0" name="image9.jpg"/>
                    <pic:cNvPicPr preferRelativeResize="0"/>
                  </pic:nvPicPr>
                  <pic:blipFill>
                    <a:blip r:embed="rId2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widowControl w:val="0"/>
        <w:ind w:left="480" w:hanging="480"/>
        <w:rPr/>
      </w:pPr>
      <w:r w:rsidDel="00000000" w:rsidR="00000000" w:rsidRPr="00000000">
        <w:rPr>
          <w:rtl w:val="0"/>
        </w:rPr>
        <w:t xml:space="preserve">Figure 7. Rugosity and the sum of richnesses across all three major taxonomic groups (coral, fish, and sponge) over time (Wickham, 2016).</w:t>
      </w:r>
    </w:p>
    <w:p w:rsidR="00000000" w:rsidDel="00000000" w:rsidP="00000000" w:rsidRDefault="00000000" w:rsidRPr="00000000" w14:paraId="00000095">
      <w:pPr>
        <w:widowControl w:val="0"/>
        <w:spacing w:line="480" w:lineRule="auto"/>
        <w:ind w:left="480" w:hanging="480"/>
        <w:rPr/>
      </w:pPr>
      <w:r w:rsidDel="00000000" w:rsidR="00000000" w:rsidRPr="00000000">
        <w:rPr>
          <w:rtl w:val="0"/>
        </w:rPr>
      </w:r>
    </w:p>
    <w:p w:rsidR="00000000" w:rsidDel="00000000" w:rsidP="00000000" w:rsidRDefault="00000000" w:rsidRPr="00000000" w14:paraId="00000096">
      <w:pPr>
        <w:widowControl w:val="0"/>
        <w:spacing w:line="480" w:lineRule="auto"/>
        <w:ind w:left="480" w:hanging="480"/>
        <w:rPr/>
      </w:pPr>
      <w:r w:rsidDel="00000000" w:rsidR="00000000" w:rsidRPr="00000000">
        <w:br w:type="page"/>
      </w:r>
      <w:r w:rsidDel="00000000" w:rsidR="00000000" w:rsidRPr="00000000">
        <w:rPr>
          <w:rtl w:val="0"/>
        </w:rPr>
      </w:r>
    </w:p>
    <w:p w:rsidR="00000000" w:rsidDel="00000000" w:rsidP="00000000" w:rsidRDefault="00000000" w:rsidRPr="00000000" w14:paraId="00000097">
      <w:pPr>
        <w:widowControl w:val="0"/>
        <w:spacing w:line="480" w:lineRule="auto"/>
        <w:ind w:left="480" w:hanging="480"/>
        <w:rPr/>
      </w:pPr>
      <w:r w:rsidDel="00000000" w:rsidR="00000000" w:rsidRPr="00000000">
        <w:rPr>
          <w:rtl w:val="0"/>
        </w:rPr>
        <w:t xml:space="preserve">Appendix 1: Species included in the surveys.</w:t>
      </w:r>
    </w:p>
    <w:p w:rsidR="00000000" w:rsidDel="00000000" w:rsidP="00000000" w:rsidRDefault="00000000" w:rsidRPr="00000000" w14:paraId="00000098">
      <w:pPr>
        <w:widowControl w:val="0"/>
        <w:spacing w:line="480" w:lineRule="auto"/>
        <w:ind w:left="480" w:hanging="480"/>
        <w:rPr/>
      </w:pPr>
      <w:r w:rsidDel="00000000" w:rsidR="00000000" w:rsidRPr="00000000">
        <w:rPr/>
        <w:drawing>
          <wp:inline distB="114300" distT="114300" distL="114300" distR="114300">
            <wp:extent cx="5943600" cy="4676775"/>
            <wp:effectExtent b="0" l="0" r="0" t="0"/>
            <wp:docPr id="10"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943600" cy="46767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9">
      <w:pPr>
        <w:widowControl w:val="0"/>
        <w:spacing w:line="480" w:lineRule="auto"/>
        <w:ind w:left="480" w:hanging="480"/>
        <w:rPr/>
      </w:pPr>
      <w:r w:rsidDel="00000000" w:rsidR="00000000" w:rsidRPr="00000000">
        <w:rPr>
          <w:rFonts w:ascii="Times New Roman" w:cs="Times New Roman" w:eastAsia="Times New Roman" w:hAnsi="Times New Roman"/>
          <w:rtl w:val="0"/>
        </w:rPr>
        <w:t xml:space="preserve">Appendix </w:t>
      </w:r>
      <w:r w:rsidDel="00000000" w:rsidR="00000000" w:rsidRPr="00000000">
        <w:rPr>
          <w:rtl w:val="0"/>
        </w:rPr>
        <w:t xml:space="preserve">2</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AICc</w:t>
      </w:r>
      <w:r w:rsidDel="00000000" w:rsidR="00000000" w:rsidRPr="00000000">
        <w:rPr>
          <w:rFonts w:ascii="Times New Roman" w:cs="Times New Roman" w:eastAsia="Times New Roman" w:hAnsi="Times New Roman"/>
          <w:rtl w:val="0"/>
        </w:rPr>
        <w:t xml:space="preserve"> table of models with coral richness as the response variable (target) where cc = coral cover, sc = sponge cover, r = rugosity, yr = year, x = interaction.</w:t>
      </w:r>
      <w:r w:rsidDel="00000000" w:rsidR="00000000" w:rsidRPr="00000000">
        <w:rPr>
          <w:rtl w:val="0"/>
        </w:rPr>
      </w:r>
    </w:p>
    <w:p w:rsidR="00000000" w:rsidDel="00000000" w:rsidP="00000000" w:rsidRDefault="00000000" w:rsidRPr="00000000" w14:paraId="0000009A">
      <w:pPr>
        <w:widowControl w:val="0"/>
        <w:spacing w:line="480" w:lineRule="auto"/>
        <w:ind w:left="480" w:hanging="480"/>
        <w:rPr/>
      </w:pPr>
      <w:r w:rsidDel="00000000" w:rsidR="00000000" w:rsidRPr="00000000">
        <w:rPr/>
        <w:drawing>
          <wp:inline distB="114300" distT="114300" distL="114300" distR="114300">
            <wp:extent cx="5943600" cy="4200525"/>
            <wp:effectExtent b="0" l="0" r="0" t="0"/>
            <wp:docPr id="1"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43600"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widowControl w:val="0"/>
        <w:spacing w:line="480" w:lineRule="auto"/>
        <w:ind w:left="480" w:hanging="480"/>
        <w:rPr/>
      </w:pPr>
      <w:r w:rsidDel="00000000" w:rsidR="00000000" w:rsidRPr="00000000">
        <w:br w:type="page"/>
      </w:r>
      <w:r w:rsidDel="00000000" w:rsidR="00000000" w:rsidRPr="00000000">
        <w:rPr>
          <w:rtl w:val="0"/>
        </w:rPr>
      </w:r>
    </w:p>
    <w:p w:rsidR="00000000" w:rsidDel="00000000" w:rsidP="00000000" w:rsidRDefault="00000000" w:rsidRPr="00000000" w14:paraId="0000009C">
      <w:pPr>
        <w:widowControl w:val="0"/>
        <w:spacing w:line="480" w:lineRule="auto"/>
        <w:ind w:left="480" w:hanging="480"/>
        <w:rPr/>
      </w:pPr>
      <w:r w:rsidDel="00000000" w:rsidR="00000000" w:rsidRPr="00000000">
        <w:rPr>
          <w:rFonts w:ascii="Times New Roman" w:cs="Times New Roman" w:eastAsia="Times New Roman" w:hAnsi="Times New Roman"/>
          <w:rtl w:val="0"/>
        </w:rPr>
        <w:t xml:space="preserve">Appendix </w:t>
      </w:r>
      <w:r w:rsidDel="00000000" w:rsidR="00000000" w:rsidRPr="00000000">
        <w:rPr>
          <w:rtl w:val="0"/>
        </w:rPr>
        <w:t xml:space="preserve">3</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AICc</w:t>
      </w:r>
      <w:r w:rsidDel="00000000" w:rsidR="00000000" w:rsidRPr="00000000">
        <w:rPr>
          <w:rFonts w:ascii="Times New Roman" w:cs="Times New Roman" w:eastAsia="Times New Roman" w:hAnsi="Times New Roman"/>
          <w:rtl w:val="0"/>
        </w:rPr>
        <w:t xml:space="preserve"> table of models with sponge richness as the response variable </w:t>
      </w:r>
      <w:r w:rsidDel="00000000" w:rsidR="00000000" w:rsidRPr="00000000">
        <w:rPr>
          <w:rtl w:val="0"/>
        </w:rPr>
        <w:t xml:space="preserve">(target) </w:t>
      </w:r>
      <w:r w:rsidDel="00000000" w:rsidR="00000000" w:rsidRPr="00000000">
        <w:rPr>
          <w:rFonts w:ascii="Times New Roman" w:cs="Times New Roman" w:eastAsia="Times New Roman" w:hAnsi="Times New Roman"/>
          <w:rtl w:val="0"/>
        </w:rPr>
        <w:t xml:space="preserve">where cc = coral cover, sc = sponge cover, r = rugosity, yr = year, x = interaction.</w:t>
      </w:r>
      <w:r w:rsidDel="00000000" w:rsidR="00000000" w:rsidRPr="00000000">
        <w:rPr>
          <w:rtl w:val="0"/>
        </w:rPr>
      </w:r>
    </w:p>
    <w:p w:rsidR="00000000" w:rsidDel="00000000" w:rsidP="00000000" w:rsidRDefault="00000000" w:rsidRPr="00000000" w14:paraId="0000009D">
      <w:pPr>
        <w:widowControl w:val="0"/>
        <w:ind w:left="480" w:hanging="480"/>
        <w:rPr/>
      </w:pPr>
      <w:r w:rsidDel="00000000" w:rsidR="00000000" w:rsidRPr="00000000">
        <w:rPr/>
        <w:drawing>
          <wp:inline distB="114300" distT="114300" distL="114300" distR="114300">
            <wp:extent cx="5943600" cy="4257675"/>
            <wp:effectExtent b="0" l="0" r="0" t="0"/>
            <wp:docPr id="3"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943600"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widowControl w:val="0"/>
        <w:spacing w:line="480" w:lineRule="auto"/>
        <w:ind w:left="480" w:hanging="480"/>
        <w:rPr/>
      </w:pPr>
      <w:r w:rsidDel="00000000" w:rsidR="00000000" w:rsidRPr="00000000">
        <w:br w:type="page"/>
      </w:r>
      <w:r w:rsidDel="00000000" w:rsidR="00000000" w:rsidRPr="00000000">
        <w:rPr>
          <w:rtl w:val="0"/>
        </w:rPr>
      </w:r>
    </w:p>
    <w:p w:rsidR="00000000" w:rsidDel="00000000" w:rsidP="00000000" w:rsidRDefault="00000000" w:rsidRPr="00000000" w14:paraId="0000009F">
      <w:pPr>
        <w:widowControl w:val="0"/>
        <w:spacing w:line="480" w:lineRule="auto"/>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Appendix </w:t>
      </w:r>
      <w:r w:rsidDel="00000000" w:rsidR="00000000" w:rsidRPr="00000000">
        <w:rPr>
          <w:rtl w:val="0"/>
        </w:rPr>
        <w:t xml:space="preserve">4</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AICc</w:t>
      </w:r>
      <w:r w:rsidDel="00000000" w:rsidR="00000000" w:rsidRPr="00000000">
        <w:rPr>
          <w:rFonts w:ascii="Times New Roman" w:cs="Times New Roman" w:eastAsia="Times New Roman" w:hAnsi="Times New Roman"/>
          <w:rtl w:val="0"/>
        </w:rPr>
        <w:t xml:space="preserve"> table of models with fish richness as the response variable </w:t>
      </w:r>
      <w:r w:rsidDel="00000000" w:rsidR="00000000" w:rsidRPr="00000000">
        <w:rPr>
          <w:rtl w:val="0"/>
        </w:rPr>
        <w:t xml:space="preserve">(target) </w:t>
      </w:r>
      <w:r w:rsidDel="00000000" w:rsidR="00000000" w:rsidRPr="00000000">
        <w:rPr>
          <w:rFonts w:ascii="Times New Roman" w:cs="Times New Roman" w:eastAsia="Times New Roman" w:hAnsi="Times New Roman"/>
          <w:rtl w:val="0"/>
        </w:rPr>
        <w:t xml:space="preserve">where cc = coral cover, sc = sponge cover, r = rugosity, yr = year, x = interaction.</w:t>
      </w:r>
    </w:p>
    <w:p w:rsidR="00000000" w:rsidDel="00000000" w:rsidP="00000000" w:rsidRDefault="00000000" w:rsidRPr="00000000" w14:paraId="000000A0">
      <w:pPr>
        <w:widowControl w:val="0"/>
        <w:spacing w:line="480" w:lineRule="auto"/>
        <w:ind w:left="480" w:hanging="480"/>
        <w:rPr/>
      </w:pPr>
      <w:r w:rsidDel="00000000" w:rsidR="00000000" w:rsidRPr="00000000">
        <w:rPr/>
        <w:drawing>
          <wp:inline distB="114300" distT="114300" distL="114300" distR="114300">
            <wp:extent cx="5943600" cy="4200525"/>
            <wp:effectExtent b="0" l="0" r="0" t="0"/>
            <wp:docPr id="17"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943600" cy="42005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1">
      <w:pPr>
        <w:widowControl w:val="0"/>
        <w:spacing w:line="480" w:lineRule="auto"/>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Appendix </w:t>
      </w:r>
      <w:r w:rsidDel="00000000" w:rsidR="00000000" w:rsidRPr="00000000">
        <w:rPr>
          <w:rtl w:val="0"/>
        </w:rPr>
        <w:t xml:space="preserve">5</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AICc</w:t>
      </w:r>
      <w:r w:rsidDel="00000000" w:rsidR="00000000" w:rsidRPr="00000000">
        <w:rPr>
          <w:rFonts w:ascii="Times New Roman" w:cs="Times New Roman" w:eastAsia="Times New Roman" w:hAnsi="Times New Roman"/>
          <w:rtl w:val="0"/>
        </w:rPr>
        <w:t xml:space="preserve"> table of models with combined richness as the response variable </w:t>
      </w:r>
      <w:r w:rsidDel="00000000" w:rsidR="00000000" w:rsidRPr="00000000">
        <w:rPr>
          <w:rtl w:val="0"/>
        </w:rPr>
        <w:t xml:space="preserve">(target) </w:t>
      </w:r>
      <w:r w:rsidDel="00000000" w:rsidR="00000000" w:rsidRPr="00000000">
        <w:rPr>
          <w:rFonts w:ascii="Times New Roman" w:cs="Times New Roman" w:eastAsia="Times New Roman" w:hAnsi="Times New Roman"/>
          <w:rtl w:val="0"/>
        </w:rPr>
        <w:t xml:space="preserve">where cc = coral cover, sc = sponge cover, r = rugosity, yr = year, x = interaction.</w:t>
      </w:r>
    </w:p>
    <w:p w:rsidR="00000000" w:rsidDel="00000000" w:rsidP="00000000" w:rsidRDefault="00000000" w:rsidRPr="00000000" w14:paraId="000000A2">
      <w:pPr>
        <w:widowControl w:val="0"/>
        <w:spacing w:line="480" w:lineRule="auto"/>
        <w:ind w:left="480" w:hanging="480"/>
        <w:rPr>
          <w:rFonts w:ascii="Times New Roman" w:cs="Times New Roman" w:eastAsia="Times New Roman" w:hAnsi="Times New Roman"/>
        </w:rPr>
      </w:pPr>
      <w:r w:rsidDel="00000000" w:rsidR="00000000" w:rsidRPr="00000000">
        <w:rPr/>
        <w:drawing>
          <wp:inline distB="114300" distT="114300" distL="114300" distR="114300">
            <wp:extent cx="5943600" cy="4200525"/>
            <wp:effectExtent b="0" l="0" r="0" t="0"/>
            <wp:docPr id="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43600" cy="4200525"/>
                    </a:xfrm>
                    <a:prstGeom prst="rect"/>
                    <a:ln/>
                  </pic:spPr>
                </pic:pic>
              </a:graphicData>
            </a:graphic>
          </wp:inline>
        </w:drawing>
      </w:r>
      <w:r w:rsidDel="00000000" w:rsidR="00000000" w:rsidRPr="00000000">
        <w:rPr>
          <w:rtl w:val="0"/>
        </w:rPr>
      </w:r>
    </w:p>
    <w:sectPr>
      <w:footerReference r:id="rId28" w:type="default"/>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icole Keefner" w:id="20" w:date="2019-10-15T00:48:32Z">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describe how we test model assumptions</w:t>
      </w:r>
    </w:p>
  </w:comment>
  <w:comment w:author="Nicole Keefner" w:id="21" w:date="2019-10-15T00:51:17Z">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 citation</w:t>
      </w:r>
    </w:p>
  </w:comment>
  <w:comment w:author="Nicole Keefner" w:id="25" w:date="2019-10-15T00:51:17Z">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 citation</w:t>
      </w:r>
    </w:p>
  </w:comment>
  <w:comment w:author="Graham Forrester" w:id="29" w:date="2019-06-19T13:17:34Z">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Approach used for this should be described in the methods</w:t>
      </w:r>
    </w:p>
  </w:comment>
  <w:comment w:author="Nicole Keefner" w:id="32" w:date="2019-07-19T11:00:18Z">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 Brian: "need to define all terms in table legend"</w:t>
      </w:r>
    </w:p>
  </w:comment>
  <w:comment w:author="Nicole Keefner" w:id="33" w:date="2019-07-19T11:00:20Z">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now, I've copied these tables in as images</w:t>
      </w:r>
    </w:p>
  </w:comment>
  <w:comment w:author="Nicole" w:id="0" w:date="2019-05-24T20:41:00Z">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Skip over the abstract for now. As we discussed, I will return to this after more progress has been made.</w:t>
      </w:r>
    </w:p>
  </w:comment>
  <w:comment w:author="Graham Forrester" w:id="31" w:date="2019-06-18T12:42:54Z">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tables will eventually have to fit neatly on the page.  I think one thing that will help (apart from more careful formatting) will be to use sensible numbers of decimal places.  e.g.s 44.2 rarher than 44.212, 18.0 rather than 18.011.........</w:t>
      </w:r>
    </w:p>
  </w:comment>
  <w:comment w:author="Graham Forrester" w:id="30" w:date="2019-06-17T15:46:04Z">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references, and in-text citations, do not seem to conform exactly to the JNC journal style (e.g. journal name should be italicized).  Are you using the JNC style in Mendeley to generate the citations/references?</w:t>
      </w:r>
    </w:p>
  </w:comment>
  <w:comment w:author="Graham Forrester" w:id="28" w:date="2019-06-19T13:36:40Z">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 whether and how to include analysis of correlations b/w richness of corals, sponges and fish.</w:t>
      </w:r>
    </w:p>
  </w:comment>
  <w:comment w:author="Graham Forrester" w:id="24" w:date="2019-06-19T13:53:37Z">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section here summarizing the contents of the "models" sheet in the objectives spreadsheet.</w:t>
      </w:r>
    </w:p>
  </w:comment>
  <w:comment w:author="Graham Forrester" w:id="22" w:date="2019-06-19T14:02:35Z">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expand this to be a paragraph on how AIC and dervied measures were used to compare fit of models</w:t>
      </w:r>
    </w:p>
  </w:comment>
  <w:comment w:author="Nicole Keefner" w:id="23" w:date="2019-10-15T01:02:33Z">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 me know if the paragraph addresses this point now.</w:t>
      </w:r>
    </w:p>
  </w:comment>
  <w:comment w:author="Graham Forrester" w:id="13" w:date="2019-06-18T12:32:56Z">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True for fish and corals, not true for sponges?</w:t>
      </w:r>
    </w:p>
  </w:comment>
  <w:comment w:author="Graham Forrester" w:id="14" w:date="2019-06-18T12:37:58Z">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the intorduction might be better framed as: corals and fish are widely studied - as foundation group and key economically valuable consumes respectively.  We know their richness is correlated in space, and time.</w:t>
      </w:r>
    </w:p>
  </w:comment>
  <w:comment w:author="Graham Forrester" w:id="15" w:date="2019-06-18T12:39:04Z">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we want to know if the diversity of other groups covaries and shows stable correlations over time.  We picked sponges as a case study to test this.</w:t>
      </w:r>
    </w:p>
  </w:comment>
  <w:comment w:author="Graham Forrester" w:id="7" w:date="2019-06-18T12:33:00Z">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little vague - can you explain specifically why species richness estimates are affected by scaling?</w:t>
      </w:r>
    </w:p>
  </w:comment>
  <w:comment w:author="Graham Forrester" w:id="8" w:date="2019-06-18T14:24:01Z">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literature on spatial scaling of richness</w:t>
      </w:r>
    </w:p>
  </w:comment>
  <w:comment w:author="Graham Forrester" w:id="5" w:date="2019-06-18T12:33:03Z">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not sure what is being compared here?</w:t>
      </w:r>
    </w:p>
  </w:comment>
  <w:comment w:author="Graham Forrester" w:id="6" w:date="2019-06-18T14:12:47Z">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replace with something about it being simple and not dervied (e.g. diversity)</w:t>
      </w:r>
    </w:p>
  </w:comment>
  <w:comment w:author="Graham Forrester" w:id="1" w:date="2019-06-17T19:07:28Z">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understand this - please be ready to explain when we meet (Tue?)</w:t>
      </w:r>
    </w:p>
  </w:comment>
  <w:comment w:author="Graham Forrester" w:id="2" w:date="2019-06-18T14:07:37Z">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value of understanding diversity - e.g. productivity debate, redundancy</w:t>
      </w:r>
    </w:p>
  </w:comment>
  <w:comment w:author="Graham Forrester" w:id="3" w:date="2019-06-18T14:09:03Z">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diversity-stability</w:t>
      </w:r>
    </w:p>
  </w:comment>
  <w:comment w:author="Graham Forrester" w:id="4" w:date="2019-06-18T14:10:20Z">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replace existing text</w:t>
      </w:r>
    </w:p>
  </w:comment>
  <w:comment w:author="Graham Forrester" w:id="12" w:date="2019-06-17T19:14:47Z">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a better transition to coral reefs.....</w:t>
      </w:r>
    </w:p>
  </w:comment>
  <w:comment w:author="Graham Forrester" w:id="9" w:date="2019-06-17T19:14:13Z">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Once the draft is complete, it will be worth considering whether this should be part of the discussion rather than intro.</w:t>
      </w:r>
    </w:p>
  </w:comment>
  <w:comment w:author="Graham Forrester" w:id="10" w:date="2019-06-18T12:35:05Z">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why is the Ward study discussed here - you make it sound like it is a spatial test, not a temporal analysis?</w:t>
      </w:r>
    </w:p>
  </w:comment>
  <w:comment w:author="Graham Forrester" w:id="11" w:date="2019-06-18T14:41:26Z">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the point is they could have tested for short-term temporal stability but did not......so perhaps leave it out.  or say they could have tested for temporal stability but did not.</w:t>
      </w:r>
    </w:p>
  </w:comment>
  <w:comment w:author="Nicole Keefner" w:id="16" w:date="2019-06-17T01:37:24Z">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Make/include this table for appendix</w:t>
      </w:r>
    </w:p>
  </w:comment>
  <w:comment w:author="Graham Forrester" w:id="17" w:date="2019-06-17T18:22:50Z">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please do this</w:t>
      </w:r>
    </w:p>
  </w:comment>
  <w:comment w:author="Graham Forrester" w:id="18" w:date="2019-06-18T14:50:34Z">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how to cite</w:t>
      </w:r>
    </w:p>
  </w:comment>
  <w:comment w:author="Graham Forrester" w:id="19" w:date="2019-06-18T14:50:55Z">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perhaps look ta example (recent paper in JNC)</w:t>
      </w:r>
    </w:p>
  </w:comment>
  <w:comment w:author="Brian Gerber" w:id="26" w:date="2019-05-28T16:15:54Z">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models were compared for each response variable, right? Thus models with candidate surrogates only and candidate surrogates plus the other 3 targets? Is this the exploratory modeling you are describing? </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can't follow exactly what model sets you have and what is different about the exploratory modeling? Needs some clarity.</w:t>
      </w:r>
    </w:p>
  </w:comment>
  <w:comment w:author="Nicole Keefner" w:id="27" w:date="2019-10-15T01:47:38Z">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let me know if this has become clearer since this section was updated.</w:t>
      </w:r>
    </w:p>
  </w:comment>
  <w:comment w:author="Brian Gerber" w:id="34" w:date="2019-05-28T16:25:03Z">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help to have this as an inset within a larger map showing the palce in the world (at whatever scale is appropriate).</w:t>
      </w:r>
    </w:p>
  </w:comment>
  <w:comment w:author="Graham Forrester" w:id="35" w:date="2019-06-17T15:28:58Z">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made a new figure - complies with JNC guidelines.  The TIFF version is too large to insert into the google doc</w:t>
      </w:r>
    </w:p>
  </w:comment>
  <w:comment w:author="Graham Forrester" w:id="36" w:date="2019-06-18T12:43:22Z">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tried adding it to the Github analysis folder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Gungsuh"/>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line="48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line="480" w:lineRule="auto"/>
    </w:pPr>
    <w:rPr>
      <w:rFonts w:ascii="Times New Roman" w:cs="Times New Roman" w:eastAsia="Times New Roman" w:hAnsi="Times New Roman"/>
      <w:b w:val="1"/>
    </w:rPr>
  </w:style>
  <w:style w:type="paragraph" w:styleId="Heading2">
    <w:name w:val="heading 2"/>
    <w:basedOn w:val="Normal"/>
    <w:next w:val="Normal"/>
    <w:pPr>
      <w:ind w:firstLine="0"/>
    </w:pPr>
    <w:rPr>
      <w:i w:val="1"/>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widowControl w:val="0"/>
      <w:spacing w:line="480" w:lineRule="auto"/>
    </w:pPr>
    <w:rPr>
      <w:rFonts w:ascii="Times New Roman" w:cs="Times New Roman" w:eastAsia="Times New Roman" w:hAnsi="Times New Roman"/>
      <w:b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22" Type="http://schemas.openxmlformats.org/officeDocument/2006/relationships/image" Target="media/image9.jpg"/><Relationship Id="rId21" Type="http://schemas.openxmlformats.org/officeDocument/2006/relationships/image" Target="media/image21.jpg"/><Relationship Id="rId24" Type="http://schemas.openxmlformats.org/officeDocument/2006/relationships/image" Target="media/image7.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26" Type="http://schemas.openxmlformats.org/officeDocument/2006/relationships/image" Target="media/image16.png"/><Relationship Id="rId25" Type="http://schemas.openxmlformats.org/officeDocument/2006/relationships/image" Target="media/image11.png"/><Relationship Id="rId28" Type="http://schemas.openxmlformats.org/officeDocument/2006/relationships/footer" Target="footer1.xml"/><Relationship Id="rId27"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19.png"/><Relationship Id="rId11" Type="http://schemas.openxmlformats.org/officeDocument/2006/relationships/image" Target="media/image18.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10.png"/><Relationship Id="rId15" Type="http://schemas.openxmlformats.org/officeDocument/2006/relationships/image" Target="media/image14.png"/><Relationship Id="rId14" Type="http://schemas.openxmlformats.org/officeDocument/2006/relationships/image" Target="media/image3.png"/><Relationship Id="rId17" Type="http://schemas.openxmlformats.org/officeDocument/2006/relationships/image" Target="media/image17.jpg"/><Relationship Id="rId16" Type="http://schemas.openxmlformats.org/officeDocument/2006/relationships/image" Target="media/image13.jpg"/><Relationship Id="rId19" Type="http://schemas.openxmlformats.org/officeDocument/2006/relationships/image" Target="media/image15.jpg"/><Relationship Id="rId18"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