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2023-01-19</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8"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Height</w:t>
            </w:r>
          </w:p>
        </w:tc>
        <w:tc>
          <w:tcPr/>
          <w:p>
            <w:pPr>
              <w:pStyle w:val="Compact"/>
              <w:jc w:val="right"/>
            </w:pPr>
            <w:r>
              <w:t xml:space="preserve">Weight</w:t>
            </w:r>
          </w:p>
        </w:tc>
        <w:tc>
          <w:tcPr/>
          <w:p>
            <w:pPr>
              <w:pStyle w:val="Compact"/>
              <w:jc w:val="right"/>
            </w:pPr>
            <w:r>
              <w:t xml:space="preserve">Sex</w:t>
            </w:r>
          </w:p>
        </w:tc>
        <w:tc>
          <w:tcPr/>
          <w:p>
            <w:pPr>
              <w:pStyle w:val="Compact"/>
              <w:jc w:val="right"/>
            </w:pPr>
            <w:r>
              <w:t xml:space="preserve">Number.of.Siblings</w:t>
            </w:r>
          </w:p>
        </w:tc>
        <w:tc>
          <w:tcPr/>
          <w:p>
            <w:pPr>
              <w:pStyle w:val="Compact"/>
              <w:jc w:val="right"/>
            </w:pPr>
            <w:r>
              <w:t xml:space="preserve">Religion</w:t>
            </w:r>
          </w:p>
        </w:tc>
      </w:tr>
      <w:tr>
        <w:tc>
          <w:tcPr/>
          <w:p>
            <w:pPr>
              <w:pStyle w:val="Compact"/>
              <w:jc w:val="left"/>
            </w:pPr>
            <w:r>
              <w:t xml:space="preserve">Min.</w:t>
            </w:r>
          </w:p>
        </w:tc>
        <w:tc>
          <w:tcPr/>
          <w:p>
            <w:pPr>
              <w:pStyle w:val="Compact"/>
              <w:jc w:val="right"/>
            </w:pPr>
            <w:r>
              <w:t xml:space="preserve">133.0000</w:t>
            </w:r>
          </w:p>
        </w:tc>
        <w:tc>
          <w:tcPr/>
          <w:p>
            <w:pPr>
              <w:pStyle w:val="Compact"/>
              <w:jc w:val="right"/>
            </w:pPr>
            <w:r>
              <w:t xml:space="preserve">45</w:t>
            </w:r>
          </w:p>
        </w:tc>
        <w:tc>
          <w:tcPr/>
          <w:p>
            <w:pPr>
              <w:pStyle w:val="Compact"/>
              <w:jc w:val="right"/>
            </w:pPr>
            <w:r>
              <w:t xml:space="preserve">3</w:t>
            </w:r>
          </w:p>
        </w:tc>
        <w:tc>
          <w:tcPr/>
          <w:p>
            <w:pPr>
              <w:pStyle w:val="Compact"/>
              <w:jc w:val="right"/>
            </w:pPr>
            <w:r>
              <w:t xml:space="preserve">0.000000</w:t>
            </w:r>
          </w:p>
        </w:tc>
        <w:tc>
          <w:tcPr/>
          <w:p>
            <w:pPr>
              <w:pStyle w:val="Compact"/>
              <w:jc w:val="right"/>
            </w:pPr>
            <w:r>
              <w:t xml:space="preserve">4</w:t>
            </w:r>
          </w:p>
        </w:tc>
      </w:tr>
      <w:tr>
        <w:tc>
          <w:tcPr/>
          <w:p>
            <w:pPr>
              <w:pStyle w:val="Compact"/>
              <w:jc w:val="left"/>
            </w:pPr>
            <w:r>
              <w:t xml:space="preserve">1st Qu.</w:t>
            </w:r>
          </w:p>
        </w:tc>
        <w:tc>
          <w:tcPr/>
          <w:p>
            <w:pPr>
              <w:pStyle w:val="Compact"/>
              <w:jc w:val="right"/>
            </w:pPr>
            <w:r>
              <w:t xml:space="preserve">155.0000</w:t>
            </w:r>
          </w:p>
        </w:tc>
        <w:tc>
          <w:tcPr/>
          <w:p>
            <w:pPr>
              <w:pStyle w:val="Compact"/>
              <w:jc w:val="right"/>
            </w:pPr>
            <w:r>
              <w:t xml:space="preserve">54</w:t>
            </w:r>
          </w:p>
        </w:tc>
        <w:tc>
          <w:tcPr/>
          <w:p>
            <w:pPr>
              <w:pStyle w:val="Compact"/>
              <w:jc w:val="right"/>
            </w:pPr>
            <w:r>
              <w:t xml:space="preserve">6</w:t>
            </w:r>
          </w:p>
        </w:tc>
        <w:tc>
          <w:tcPr/>
          <w:p>
            <w:pPr>
              <w:pStyle w:val="Compact"/>
              <w:jc w:val="right"/>
            </w:pPr>
            <w:r>
              <w:t xml:space="preserve">1.000000</w:t>
            </w:r>
          </w:p>
        </w:tc>
        <w:tc>
          <w:tcPr/>
          <w:p>
            <w:pPr>
              <w:pStyle w:val="Compact"/>
              <w:jc w:val="right"/>
            </w:pPr>
            <w:r>
              <w:t xml:space="preserve">3</w:t>
            </w:r>
          </w:p>
        </w:tc>
      </w:tr>
      <w:tr>
        <w:tc>
          <w:tcPr/>
          <w:p>
            <w:pPr>
              <w:pStyle w:val="Compact"/>
              <w:jc w:val="left"/>
            </w:pPr>
            <w:r>
              <w:t xml:space="preserve">Median</w:t>
            </w:r>
          </w:p>
        </w:tc>
        <w:tc>
          <w:tcPr/>
          <w:p>
            <w:pPr>
              <w:pStyle w:val="Compact"/>
              <w:jc w:val="right"/>
            </w:pPr>
            <w:r>
              <w:t xml:space="preserve">166.0000</w:t>
            </w:r>
          </w:p>
        </w:tc>
        <w:tc>
          <w:tcPr/>
          <w:p>
            <w:pPr>
              <w:pStyle w:val="Compact"/>
              <w:jc w:val="right"/>
            </w:pPr>
            <w:r>
              <w:t xml:space="preserve">70</w:t>
            </w:r>
          </w:p>
        </w:tc>
        <w:tc>
          <w:tcPr/>
          <w:p>
            <w:pPr>
              <w:pStyle w:val="Compact"/>
              <w:jc w:val="right"/>
            </w:pPr>
            <w:r>
              <w:t xml:space="preserve">3</w:t>
            </w:r>
          </w:p>
        </w:tc>
        <w:tc>
          <w:tcPr/>
          <w:p>
            <w:pPr>
              <w:pStyle w:val="Compact"/>
              <w:jc w:val="right"/>
            </w:pPr>
            <w:r>
              <w:t xml:space="preserve">2.000000</w:t>
            </w:r>
          </w:p>
        </w:tc>
        <w:tc>
          <w:tcPr/>
          <w:p>
            <w:pPr>
              <w:pStyle w:val="Compact"/>
              <w:jc w:val="right"/>
            </w:pPr>
            <w:r>
              <w:t xml:space="preserve">2</w:t>
            </w:r>
          </w:p>
        </w:tc>
      </w:tr>
      <w:tr>
        <w:tc>
          <w:tcPr/>
          <w:p>
            <w:pPr>
              <w:pStyle w:val="Compact"/>
              <w:jc w:val="left"/>
            </w:pPr>
            <w:r>
              <w:t xml:space="preserve">Mean</w:t>
            </w:r>
          </w:p>
        </w:tc>
        <w:tc>
          <w:tcPr/>
          <w:p>
            <w:pPr>
              <w:pStyle w:val="Compact"/>
              <w:jc w:val="right"/>
            </w:pPr>
            <w:r>
              <w:t xml:space="preserve">162.5556</w:t>
            </w:r>
          </w:p>
        </w:tc>
        <w:tc>
          <w:tcPr/>
          <w:p>
            <w:pPr>
              <w:pStyle w:val="Compact"/>
              <w:jc w:val="right"/>
            </w:pPr>
            <w:r>
              <w:t xml:space="preserve">70</w:t>
            </w:r>
          </w:p>
        </w:tc>
        <w:tc>
          <w:tcPr/>
          <w:p>
            <w:pPr>
              <w:pStyle w:val="Compact"/>
              <w:jc w:val="right"/>
            </w:pPr>
            <w:r>
              <w:t xml:space="preserve">6</w:t>
            </w:r>
          </w:p>
        </w:tc>
        <w:tc>
          <w:tcPr/>
          <w:p>
            <w:pPr>
              <w:pStyle w:val="Compact"/>
              <w:jc w:val="right"/>
            </w:pPr>
            <w:r>
              <w:t xml:space="preserve">1.888889</w:t>
            </w:r>
          </w:p>
        </w:tc>
        <w:tc>
          <w:tcPr/>
          <w:p>
            <w:pPr>
              <w:pStyle w:val="Compact"/>
              <w:jc w:val="right"/>
            </w:pPr>
            <w:r>
              <w:t xml:space="preserve">4</w:t>
            </w:r>
          </w:p>
        </w:tc>
      </w:tr>
      <w:tr>
        <w:tc>
          <w:tcPr/>
          <w:p>
            <w:pPr>
              <w:pStyle w:val="Compact"/>
              <w:jc w:val="left"/>
            </w:pPr>
            <w:r>
              <w:t xml:space="preserve">3rd Qu.</w:t>
            </w:r>
          </w:p>
        </w:tc>
        <w:tc>
          <w:tcPr/>
          <w:p>
            <w:pPr>
              <w:pStyle w:val="Compact"/>
              <w:jc w:val="right"/>
            </w:pPr>
            <w:r>
              <w:t xml:space="preserve">175.0000</w:t>
            </w:r>
          </w:p>
        </w:tc>
        <w:tc>
          <w:tcPr/>
          <w:p>
            <w:pPr>
              <w:pStyle w:val="Compact"/>
              <w:jc w:val="right"/>
            </w:pPr>
            <w:r>
              <w:t xml:space="preserve">80</w:t>
            </w:r>
          </w:p>
        </w:tc>
        <w:tc>
          <w:tcPr/>
          <w:p>
            <w:pPr>
              <w:pStyle w:val="Compact"/>
              <w:jc w:val="right"/>
            </w:pPr>
            <w:r>
              <w:t xml:space="preserve">3</w:t>
            </w:r>
          </w:p>
        </w:tc>
        <w:tc>
          <w:tcPr/>
          <w:p>
            <w:pPr>
              <w:pStyle w:val="Compact"/>
              <w:jc w:val="right"/>
            </w:pPr>
            <w:r>
              <w:t xml:space="preserve">2.000000</w:t>
            </w:r>
          </w:p>
        </w:tc>
        <w:tc>
          <w:tcPr/>
          <w:p>
            <w:pPr>
              <w:pStyle w:val="Compact"/>
              <w:jc w:val="right"/>
            </w:pPr>
            <w:r>
              <w:t xml:space="preserve">3</w:t>
            </w:r>
          </w:p>
        </w:tc>
      </w:tr>
      <w:tr>
        <w:tc>
          <w:tcPr/>
          <w:p>
            <w:pPr>
              <w:pStyle w:val="Compact"/>
              <w:jc w:val="left"/>
            </w:pPr>
            <w:r>
              <w:t xml:space="preserve">Max.</w:t>
            </w:r>
          </w:p>
        </w:tc>
        <w:tc>
          <w:tcPr/>
          <w:p>
            <w:pPr>
              <w:pStyle w:val="Compact"/>
              <w:jc w:val="right"/>
            </w:pPr>
            <w:r>
              <w:t xml:space="preserve">180.0000</w:t>
            </w:r>
          </w:p>
        </w:tc>
        <w:tc>
          <w:tcPr/>
          <w:p>
            <w:pPr>
              <w:pStyle w:val="Compact"/>
              <w:jc w:val="right"/>
            </w:pPr>
            <w:r>
              <w:t xml:space="preserve">110</w:t>
            </w:r>
          </w:p>
        </w:tc>
        <w:tc>
          <w:tcPr/>
          <w:p>
            <w:pPr>
              <w:pStyle w:val="Compact"/>
              <w:jc w:val="right"/>
            </w:pPr>
            <w:r>
              <w:t xml:space="preserve">6</w:t>
            </w:r>
          </w:p>
        </w:tc>
        <w:tc>
          <w:tcPr/>
          <w:p>
            <w:pPr>
              <w:pStyle w:val="Compact"/>
              <w:jc w:val="right"/>
            </w:pPr>
            <w:r>
              <w:t xml:space="preserve">4.000000</w:t>
            </w:r>
          </w:p>
        </w:tc>
        <w:tc>
          <w:tcPr/>
          <w:p>
            <w:pPr>
              <w:pStyle w:val="Compact"/>
              <w:jc w:val="right"/>
            </w:pPr>
            <w:r>
              <w:t xml:space="preserve">2</w:t>
            </w:r>
          </w:p>
        </w:tc>
      </w:tr>
    </w:tbl>
    <w:bookmarkEnd w:id="31"/>
    <w:bookmarkEnd w:id="32"/>
    <w:bookmarkStart w:id="45"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6" w:name="fig-result"/>
          <w:p>
            <w:pPr>
              <w:pStyle w:val="Figure"/>
              <w:jc w:val="center"/>
            </w:pPr>
            <w:r>
              <w:drawing>
                <wp:inline>
                  <wp:extent cx="5334000" cy="3807460"/>
                  <wp:effectExtent b="0" l="0" r="0" t="0"/>
                  <wp:docPr descr="" title="" id="34" name="Picture"/>
                  <a:graphic>
                    <a:graphicData uri="http://schemas.openxmlformats.org/drawingml/2006/picture">
                      <pic:pic>
                        <pic:nvPicPr>
                          <pic:cNvPr descr="../../results/height_weight_stratified.png" id="35"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sex.</w:t>
            </w:r>
          </w:p>
          <w:bookmarkEnd w:id="36"/>
        </w:tc>
      </w:tr>
    </w:tbl>
    <w:tbl>
      <w:tblPr>
        <w:tblStyle w:val="Table"/>
        <w:tblW w:type="pct" w:w="5000"/>
        <w:tblLook w:firstRow="0" w:lastRow="0" w:firstColumn="0" w:lastColumn="0" w:noHBand="0" w:noVBand="0" w:val="0000"/>
      </w:tblPr>
      <w:tblGrid>
        <w:gridCol w:w="7920"/>
      </w:tblGrid>
      <w:tr>
        <w:tc>
          <w:tcPr/>
          <w:bookmarkStart w:id="40" w:name="fig-result2"/>
          <w:p>
            <w:pPr>
              <w:pStyle w:val="Figure"/>
              <w:jc w:val="center"/>
            </w:pPr>
            <w:r>
              <w:drawing>
                <wp:inline>
                  <wp:extent cx="5334000" cy="3508314"/>
                  <wp:effectExtent b="0" l="0" r="0" t="0"/>
                  <wp:docPr descr="" title="" id="38" name="Picture"/>
                  <a:graphic>
                    <a:graphicData uri="http://schemas.openxmlformats.org/drawingml/2006/picture">
                      <pic:pic>
                        <pic:nvPicPr>
                          <pic:cNvPr descr="../../results/HeightByReligion.png" id="39" name="Picture"/>
                          <pic:cNvPicPr>
                            <a:picLocks noChangeArrowheads="1" noChangeAspect="1"/>
                          </pic:cNvPicPr>
                        </pic:nvPicPr>
                        <pic:blipFill>
                          <a:blip r:embed="rId37"/>
                          <a:stretch>
                            <a:fillRect/>
                          </a:stretch>
                        </pic:blipFill>
                        <pic:spPr bwMode="auto">
                          <a:xfrm>
                            <a:off x="0" y="0"/>
                            <a:ext cx="5334000" cy="35083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Boxplot of height by religion</w:t>
            </w:r>
          </w:p>
          <w:bookmarkEnd w:id="40"/>
        </w:tc>
      </w:tr>
    </w:tbl>
    <w:tbl>
      <w:tblPr>
        <w:tblStyle w:val="Table"/>
        <w:tblW w:type="pct" w:w="5000"/>
        <w:tblLook w:firstRow="0" w:lastRow="0" w:firstColumn="0" w:lastColumn="0" w:noHBand="0" w:noVBand="0" w:val="0000"/>
      </w:tblPr>
      <w:tblGrid>
        <w:gridCol w:w="7920"/>
      </w:tblGrid>
      <w:tr>
        <w:tc>
          <w:tcPr/>
          <w:bookmarkStart w:id="44" w:name="fig-result3"/>
          <w:p>
            <w:pPr>
              <w:pStyle w:val="Figure"/>
              <w:jc w:val="center"/>
            </w:pPr>
            <w:r>
              <w:drawing>
                <wp:inline>
                  <wp:extent cx="5334000" cy="3508314"/>
                  <wp:effectExtent b="0" l="0" r="0" t="0"/>
                  <wp:docPr descr="" title="" id="42" name="Picture"/>
                  <a:graphic>
                    <a:graphicData uri="http://schemas.openxmlformats.org/drawingml/2006/picture">
                      <pic:pic>
                        <pic:nvPicPr>
                          <pic:cNvPr descr="../../results/ScatterplotweightbyNOS.png" id="43" name="Picture"/>
                          <pic:cNvPicPr>
                            <a:picLocks noChangeArrowheads="1" noChangeAspect="1"/>
                          </pic:cNvPicPr>
                        </pic:nvPicPr>
                        <pic:blipFill>
                          <a:blip r:embed="rId41"/>
                          <a:stretch>
                            <a:fillRect/>
                          </a:stretch>
                        </pic:blipFill>
                        <pic:spPr bwMode="auto">
                          <a:xfrm>
                            <a:off x="0" y="0"/>
                            <a:ext cx="5334000" cy="35083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weight by number of siblings</w:t>
            </w:r>
          </w:p>
          <w:bookmarkEnd w:id="44"/>
        </w:tc>
      </w:tr>
    </w:tbl>
    <w:bookmarkEnd w:id="45"/>
    <w:bookmarkStart w:id="47"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6"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138.5075828</w:t>
            </w:r>
          </w:p>
        </w:tc>
        <w:tc>
          <w:tcPr/>
          <w:p>
            <w:pPr>
              <w:pStyle w:val="Compact"/>
              <w:jc w:val="right"/>
            </w:pPr>
            <w:r>
              <w:t xml:space="preserve">17.6375233</w:t>
            </w:r>
          </w:p>
        </w:tc>
        <w:tc>
          <w:tcPr/>
          <w:p>
            <w:pPr>
              <w:pStyle w:val="Compact"/>
              <w:jc w:val="right"/>
            </w:pPr>
            <w:r>
              <w:t xml:space="preserve">7.8530064</w:t>
            </w:r>
          </w:p>
        </w:tc>
        <w:tc>
          <w:tcPr/>
          <w:p>
            <w:pPr>
              <w:pStyle w:val="Compact"/>
              <w:jc w:val="right"/>
            </w:pPr>
            <w:r>
              <w:t xml:space="preserve">0.0002255</w:t>
            </w:r>
          </w:p>
        </w:tc>
      </w:tr>
      <w:tr>
        <w:tc>
          <w:tcPr/>
          <w:p>
            <w:pPr>
              <w:pStyle w:val="Compact"/>
              <w:jc w:val="left"/>
            </w:pPr>
            <w:r>
              <w:t xml:space="preserve">Weight</w:t>
            </w:r>
          </w:p>
        </w:tc>
        <w:tc>
          <w:tcPr/>
          <w:p>
            <w:pPr>
              <w:pStyle w:val="Compact"/>
              <w:jc w:val="right"/>
            </w:pPr>
            <w:r>
              <w:t xml:space="preserve">0.2884414</w:t>
            </w:r>
          </w:p>
        </w:tc>
        <w:tc>
          <w:tcPr/>
          <w:p>
            <w:pPr>
              <w:pStyle w:val="Compact"/>
              <w:jc w:val="right"/>
            </w:pPr>
            <w:r>
              <w:t xml:space="preserve">0.2655154</w:t>
            </w:r>
          </w:p>
        </w:tc>
        <w:tc>
          <w:tcPr/>
          <w:p>
            <w:pPr>
              <w:pStyle w:val="Compact"/>
              <w:jc w:val="right"/>
            </w:pPr>
            <w:r>
              <w:t xml:space="preserve">1.0863453</w:t>
            </w:r>
          </w:p>
        </w:tc>
        <w:tc>
          <w:tcPr/>
          <w:p>
            <w:pPr>
              <w:pStyle w:val="Compact"/>
              <w:jc w:val="right"/>
            </w:pPr>
            <w:r>
              <w:t xml:space="preserve">0.3190313</w:t>
            </w:r>
          </w:p>
        </w:tc>
      </w:tr>
      <w:tr>
        <w:tc>
          <w:tcPr/>
          <w:p>
            <w:pPr>
              <w:pStyle w:val="Compact"/>
              <w:jc w:val="left"/>
            </w:pPr>
            <w:r>
              <w:t xml:space="preserve">SexM</w:t>
            </w:r>
          </w:p>
        </w:tc>
        <w:tc>
          <w:tcPr/>
          <w:p>
            <w:pPr>
              <w:pStyle w:val="Compact"/>
              <w:jc w:val="right"/>
            </w:pPr>
            <w:r>
              <w:t xml:space="preserve">5.7856082</w:t>
            </w:r>
          </w:p>
        </w:tc>
        <w:tc>
          <w:tcPr/>
          <w:p>
            <w:pPr>
              <w:pStyle w:val="Compact"/>
              <w:jc w:val="right"/>
            </w:pPr>
            <w:r>
              <w:t xml:space="preserve">11.3303870</w:t>
            </w:r>
          </w:p>
        </w:tc>
        <w:tc>
          <w:tcPr/>
          <w:p>
            <w:pPr>
              <w:pStyle w:val="Compact"/>
              <w:jc w:val="right"/>
            </w:pPr>
            <w:r>
              <w:t xml:space="preserve">0.5106276</w:t>
            </w:r>
          </w:p>
        </w:tc>
        <w:tc>
          <w:tcPr/>
          <w:p>
            <w:pPr>
              <w:pStyle w:val="Compact"/>
              <w:jc w:val="right"/>
            </w:pPr>
            <w:r>
              <w:t xml:space="preserve">0.6278491</w:t>
            </w:r>
          </w:p>
        </w:tc>
      </w:tr>
    </w:tbl>
    <w:bookmarkEnd w:id="46"/>
    <w:p>
      <w:r>
        <w:br w:type="page"/>
      </w:r>
    </w:p>
    <w:bookmarkEnd w:id="47"/>
    <w:bookmarkEnd w:id="48"/>
    <w:bookmarkStart w:id="53" w:name="discussion"/>
    <w:p>
      <w:pPr>
        <w:pStyle w:val="Heading1"/>
      </w:pPr>
      <w:r>
        <w:t xml:space="preserve">5. Discussion</w:t>
      </w:r>
    </w:p>
    <w:bookmarkStart w:id="49"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9"/>
    <w:bookmarkStart w:id="50"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50"/>
    <w:bookmarkStart w:id="52"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2"/>
    <w:bookmarkEnd w:id="53"/>
    <w:bookmarkStart w:id="61" w:name="references"/>
    <w:p>
      <w:pPr>
        <w:pStyle w:val="Heading1"/>
      </w:pPr>
      <w:r>
        <w:t xml:space="preserve">6. References</w:t>
      </w:r>
    </w:p>
    <w:bookmarkStart w:id="60" w:name="refs"/>
    <w:bookmarkStart w:id="55"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4">
        <w:r>
          <w:rPr>
            <w:rStyle w:val="Hyperlink"/>
          </w:rPr>
          <w:t xml:space="preserve">https://doi.org/10.1126/science.aaa6146</w:t>
        </w:r>
      </w:hyperlink>
    </w:p>
    <w:bookmarkEnd w:id="55"/>
    <w:bookmarkStart w:id="57"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6">
        <w:r>
          <w:rPr>
            <w:rStyle w:val="Hyperlink"/>
          </w:rPr>
          <w:t xml:space="preserve">https://doi.org/10.1093/ofid/ofaa494</w:t>
        </w:r>
      </w:hyperlink>
    </w:p>
    <w:bookmarkEnd w:id="57"/>
    <w:bookmarkStart w:id="59"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8">
        <w:r>
          <w:rPr>
            <w:rStyle w:val="Hyperlink"/>
          </w:rPr>
          <w:t xml:space="preserve">https://doi.org/10.1098/rspb.2020.0496</w:t>
        </w:r>
      </w:hyperlink>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hyperlink" Id="rId56" Target="https://doi.org/10.1093/ofid/ofaa494" TargetMode="External" /><Relationship Type="http://schemas.openxmlformats.org/officeDocument/2006/relationships/hyperlink" Id="rId58" Target="https://doi.org/10.1098/rspb.2020.0496" TargetMode="External" /><Relationship Type="http://schemas.openxmlformats.org/officeDocument/2006/relationships/hyperlink" Id="rId54"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93/ofid/ofaa494" TargetMode="External" /><Relationship Type="http://schemas.openxmlformats.org/officeDocument/2006/relationships/hyperlink" Id="rId58" Target="https://doi.org/10.1098/rspb.2020.0496" TargetMode="External" /><Relationship Type="http://schemas.openxmlformats.org/officeDocument/2006/relationships/hyperlink" Id="rId54"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2023-01-19T22:50:49Z</dcterms:created>
  <dcterms:modified xsi:type="dcterms:W3CDTF">2023-01-19T22:50:49Z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2023-01-19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