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258CD" w:rsidR="00087FC0" w:rsidP="00087FC0" w:rsidRDefault="00087FC0" w14:paraId="7F56CD54" w14:textId="77777777">
      <w:pPr>
        <w:ind w:left="360"/>
        <w:rPr>
          <w:b/>
          <w:bCs/>
        </w:rPr>
      </w:pPr>
      <w:r w:rsidRPr="00D258CD">
        <w:rPr>
          <w:b/>
        </w:rPr>
        <w:t>Capítulo 25</w:t>
      </w:r>
    </w:p>
    <w:p w:rsidRPr="00D258CD" w:rsidR="00087FC0" w:rsidP="00087FC0" w:rsidRDefault="00087FC0" w14:paraId="41B988DE" w14:textId="62EA8BCC">
      <w:pPr>
        <w:ind w:left="360"/>
      </w:pPr>
      <w:r w:rsidRPr="31B307BA" w:rsidR="31B307BA">
        <w:rPr>
          <w:b w:val="1"/>
          <w:bCs w:val="1"/>
        </w:rPr>
        <w:t>25.1 Qual dessas abordagens seria mais adequada para a mobilização de células-tronco para o sangue periférico de um indivíduo saudável que está doando células-tronco do sangue periférico para transplante alogênico de células-tronco?</w:t>
      </w:r>
    </w:p>
    <w:p w:rsidRPr="00D258CD" w:rsidR="00087FC0" w:rsidP="00087FC0" w:rsidRDefault="00087FC0" w14:paraId="05C478A1" w14:textId="72726E25">
      <w:pPr>
        <w:ind w:left="360"/>
      </w:pPr>
      <w:r w:rsidRPr="00D258CD">
        <w:rPr>
          <w:highlight w:val="green"/>
        </w:rPr>
        <w:t xml:space="preserve">A Administração </w:t>
      </w:r>
      <w:r w:rsidR="00B54A86">
        <w:rPr>
          <w:highlight w:val="green"/>
        </w:rPr>
        <w:t xml:space="preserve">subcutânea </w:t>
      </w:r>
      <w:r w:rsidRPr="00D258CD">
        <w:rPr>
          <w:highlight w:val="green"/>
        </w:rPr>
        <w:t>de fator estimulador de colônias de granulócitos (G</w:t>
      </w:r>
      <w:r w:rsidRPr="00D258CD">
        <w:rPr>
          <w:rFonts w:ascii="Cambria Math" w:hAnsi="Cambria Math" w:cs="Cambria Math"/>
          <w:highlight w:val="green"/>
        </w:rPr>
        <w:t>‐</w:t>
      </w:r>
      <w:r w:rsidRPr="00D258CD">
        <w:rPr>
          <w:highlight w:val="green"/>
        </w:rPr>
        <w:t>CSF)</w:t>
      </w:r>
    </w:p>
    <w:p w:rsidRPr="00D258CD" w:rsidR="00087FC0" w:rsidP="00087FC0" w:rsidRDefault="00B54A86" w14:paraId="5D547301" w14:textId="19113A05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A</w:t>
      </w:r>
      <w:r w:rsidRPr="00D258CD" w:rsidR="00087FC0">
        <w:rPr>
          <w:color w:val="EE0000"/>
          <w:sz w:val="22"/>
        </w:rPr>
        <w:t>mplamente utilizado na prática clínica.</w:t>
      </w:r>
    </w:p>
    <w:p w:rsidRPr="00D258CD" w:rsidR="00087FC0" w:rsidP="00087FC0" w:rsidRDefault="00087FC0" w14:paraId="0BCCE840" w14:textId="74BF1EB9">
      <w:pPr>
        <w:ind w:left="360"/>
      </w:pPr>
      <w:r w:rsidRPr="00D258CD">
        <w:t>B Administração de ciclofosfamida intravenosa na dose de 1,5 g</w:t>
      </w:r>
    </w:p>
    <w:p w:rsidRPr="00D258CD" w:rsidR="00087FC0" w:rsidP="00087FC0" w:rsidRDefault="00087FC0" w14:paraId="4EF68E87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Essa é uma abordagem mobilizadora eficaz, mas a quimioterapia não pode ser administrada a um doador saudável de células-tronco.</w:t>
      </w:r>
    </w:p>
    <w:p w:rsidRPr="00D258CD" w:rsidR="00087FC0" w:rsidP="00087FC0" w:rsidRDefault="00087FC0" w14:paraId="63C6C27C" w14:textId="44EB9AF2">
      <w:pPr>
        <w:ind w:left="360"/>
      </w:pPr>
      <w:r w:rsidRPr="00D258CD">
        <w:t>C Injeções de eritropo</w:t>
      </w:r>
      <w:r w:rsidR="00B54A86">
        <w:t>i</w:t>
      </w:r>
      <w:r w:rsidRPr="00D258CD">
        <w:t>etina</w:t>
      </w:r>
    </w:p>
    <w:p w:rsidRPr="00D258CD" w:rsidR="00087FC0" w:rsidP="00087FC0" w:rsidRDefault="00087FC0" w14:paraId="5B1FE909" w14:textId="1DA41A8C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A eritropo</w:t>
      </w:r>
      <w:r w:rsidR="00B54A86">
        <w:rPr>
          <w:color w:val="EE0000"/>
          <w:sz w:val="22"/>
        </w:rPr>
        <w:t>i</w:t>
      </w:r>
      <w:r w:rsidRPr="00D258CD">
        <w:rPr>
          <w:color w:val="EE0000"/>
          <w:sz w:val="22"/>
        </w:rPr>
        <w:t>etina não libera células-tronco no sangue.</w:t>
      </w:r>
    </w:p>
    <w:p w:rsidRPr="00D258CD" w:rsidR="00087FC0" w:rsidP="00087FC0" w:rsidRDefault="00087FC0" w14:paraId="723BDDE0" w14:textId="48E0F8AA">
      <w:pPr>
        <w:ind w:left="360"/>
      </w:pPr>
      <w:r w:rsidRPr="00D258CD">
        <w:t>D Administração de fator estimulador de colônia de granulócitos-macrófagos (GM</w:t>
      </w:r>
      <w:r w:rsidR="00B54A86">
        <w:t>-</w:t>
      </w:r>
      <w:r w:rsidRPr="00D258CD">
        <w:t>CSF)</w:t>
      </w:r>
    </w:p>
    <w:p w:rsidRPr="00D258CD" w:rsidR="00087FC0" w:rsidP="00087FC0" w:rsidRDefault="00B54A86" w14:paraId="7DBBD1E2" w14:textId="00B4F767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N</w:t>
      </w:r>
      <w:r w:rsidRPr="00D258CD" w:rsidR="00087FC0">
        <w:rPr>
          <w:color w:val="EE0000"/>
          <w:sz w:val="22"/>
        </w:rPr>
        <w:t>ão é usado.</w:t>
      </w:r>
    </w:p>
    <w:p w:rsidRPr="00D258CD" w:rsidR="00087FC0" w:rsidP="00087FC0" w:rsidRDefault="00087FC0" w14:paraId="296FC084" w14:textId="25E6F470">
      <w:pPr>
        <w:ind w:left="360"/>
      </w:pPr>
      <w:r w:rsidRPr="31B307BA" w:rsidR="31B307BA">
        <w:rPr>
          <w:b w:val="1"/>
          <w:bCs w:val="1"/>
        </w:rPr>
        <w:t>25.2 Qual das seguintes opções é uma vantagem potencial do transplante alogênico de células-tronco em comparação com o transplante autólogo para um paciente jovem com mieloma múltiplo?</w:t>
      </w:r>
    </w:p>
    <w:p w:rsidRPr="00D258CD" w:rsidR="00087FC0" w:rsidP="00087FC0" w:rsidRDefault="00513214" w14:paraId="3F3953B5" w14:textId="6FD7DA44">
      <w:pPr>
        <w:ind w:left="360"/>
      </w:pPr>
      <w:r>
        <w:t>A</w:t>
      </w:r>
      <w:r w:rsidRPr="00D258CD" w:rsidR="00087FC0">
        <w:t xml:space="preserve"> É mais conveniente obter células-tronco de um doador saudável, pois geralmente não é possível obter células-tronco adequadas de um paciente com mieloma</w:t>
      </w:r>
    </w:p>
    <w:p w:rsidRPr="00D258CD" w:rsidR="00087FC0" w:rsidP="00087FC0" w:rsidRDefault="00087FC0" w14:paraId="154D12BC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Geralmente, é possível obter um número suficiente de células-tronco de pacientes com mieloma múltiplo.</w:t>
      </w:r>
    </w:p>
    <w:p w:rsidRPr="00D258CD" w:rsidR="00087FC0" w:rsidP="00087FC0" w:rsidRDefault="00087FC0" w14:paraId="48D470D1" w14:textId="74716707">
      <w:pPr>
        <w:ind w:left="360"/>
      </w:pPr>
      <w:r w:rsidRPr="00D258CD">
        <w:t xml:space="preserve">B As células-tronco retiradas do paciente são inferiores em reconstituir um sistema </w:t>
      </w:r>
      <w:r w:rsidR="00513214">
        <w:t>imune</w:t>
      </w:r>
      <w:r w:rsidRPr="00D258CD">
        <w:t xml:space="preserve"> adequado e, portanto, as complicações infecciosas são mais comuns após o transplante autólogo</w:t>
      </w:r>
    </w:p>
    <w:p w:rsidRPr="00D258CD" w:rsidR="00087FC0" w:rsidP="00087FC0" w:rsidRDefault="00087FC0" w14:paraId="18F8D673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A imunossupressão necessária após o transplante alogênico significa que as complicações infecciosas são mais graves nesse cenário.</w:t>
      </w:r>
    </w:p>
    <w:p w:rsidRPr="00D258CD" w:rsidR="00087FC0" w:rsidP="00087FC0" w:rsidRDefault="00087FC0" w14:paraId="1D47A90F" w14:textId="7CFEE7C6">
      <w:pPr>
        <w:ind w:left="360"/>
      </w:pPr>
      <w:r w:rsidRPr="00D258CD">
        <w:rPr>
          <w:highlight w:val="green"/>
        </w:rPr>
        <w:t xml:space="preserve">C O efeito enxerto </w:t>
      </w:r>
      <w:r w:rsidRPr="002909A3">
        <w:rPr>
          <w:i/>
          <w:iCs/>
          <w:highlight w:val="green"/>
        </w:rPr>
        <w:t>versus</w:t>
      </w:r>
      <w:r w:rsidR="002909A3">
        <w:rPr>
          <w:highlight w:val="green"/>
        </w:rPr>
        <w:t xml:space="preserve"> </w:t>
      </w:r>
      <w:r w:rsidRPr="00D258CD">
        <w:rPr>
          <w:highlight w:val="green"/>
        </w:rPr>
        <w:t>leucemia</w:t>
      </w:r>
      <w:r w:rsidR="002909A3">
        <w:rPr>
          <w:highlight w:val="green"/>
        </w:rPr>
        <w:t xml:space="preserve"> </w:t>
      </w:r>
      <w:r w:rsidRPr="00D258CD">
        <w:rPr>
          <w:highlight w:val="green"/>
        </w:rPr>
        <w:t xml:space="preserve">do transplante alogênico de </w:t>
      </w:r>
      <w:r w:rsidR="002909A3">
        <w:rPr>
          <w:highlight w:val="green"/>
        </w:rPr>
        <w:t xml:space="preserve">células-tronco </w:t>
      </w:r>
      <w:r w:rsidRPr="00D258CD">
        <w:rPr>
          <w:highlight w:val="green"/>
        </w:rPr>
        <w:t>significa que existe a possibilidade de curar o mieloma múltiplo</w:t>
      </w:r>
    </w:p>
    <w:p w:rsidRPr="00D258CD" w:rsidR="00087FC0" w:rsidP="00087FC0" w:rsidRDefault="00087FC0" w14:paraId="612D6F87" w14:textId="5A0E99C1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Isso é verdade, mas muitos pacientes ainda recaem após o transplante</w:t>
      </w:r>
      <w:r w:rsidR="002909A3">
        <w:rPr>
          <w:color w:val="EE0000"/>
          <w:sz w:val="22"/>
        </w:rPr>
        <w:t>,</w:t>
      </w:r>
      <w:r w:rsidRPr="00D258CD">
        <w:rPr>
          <w:color w:val="EE0000"/>
          <w:sz w:val="22"/>
        </w:rPr>
        <w:t xml:space="preserve"> e os riscos de efeitos adversos são substanciais.</w:t>
      </w:r>
    </w:p>
    <w:p w:rsidRPr="00D258CD" w:rsidR="00087FC0" w:rsidP="00087FC0" w:rsidRDefault="00087FC0" w14:paraId="271C6809" w14:textId="50E18A7C">
      <w:pPr>
        <w:ind w:left="360"/>
      </w:pPr>
      <w:r w:rsidRPr="00D258CD">
        <w:t> D Está associado a uma menor mortalidade</w:t>
      </w:r>
      <w:r w:rsidR="002909A3">
        <w:t xml:space="preserve"> </w:t>
      </w:r>
      <w:r w:rsidRPr="00D258CD">
        <w:t>relacionada</w:t>
      </w:r>
      <w:r w:rsidR="002909A3">
        <w:t xml:space="preserve"> </w:t>
      </w:r>
      <w:r w:rsidRPr="00D258CD">
        <w:t>ao transplante</w:t>
      </w:r>
    </w:p>
    <w:p w:rsidRPr="00D258CD" w:rsidR="00087FC0" w:rsidP="00087FC0" w:rsidRDefault="00087FC0" w14:paraId="07CFDA85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lastRenderedPageBreak/>
        <w:t>O risco de morte é muito maior com o transplante alogênico.</w:t>
      </w:r>
    </w:p>
    <w:p w:rsidRPr="00D258CD" w:rsidR="00087FC0" w:rsidP="00087FC0" w:rsidRDefault="00087FC0" w14:paraId="4BFECB1A" w14:textId="18E83185">
      <w:pPr>
        <w:ind w:left="360"/>
      </w:pPr>
      <w:r w:rsidRPr="00D258CD">
        <w:rPr>
          <w:b/>
        </w:rPr>
        <w:t>25.3 Qual desses indivíduos pode ser considerado o doador de células-tronco mais adequado para um paciente adulto com leucemia miel</w:t>
      </w:r>
      <w:r w:rsidR="002909A3">
        <w:rPr>
          <w:b/>
        </w:rPr>
        <w:t>o</w:t>
      </w:r>
      <w:r w:rsidRPr="00D258CD">
        <w:rPr>
          <w:b/>
        </w:rPr>
        <w:t>ide aguda em primeira remissão?</w:t>
      </w:r>
    </w:p>
    <w:p w:rsidRPr="00D258CD" w:rsidR="00087FC0" w:rsidP="00087FC0" w:rsidRDefault="002909A3" w14:paraId="08C2736C" w14:textId="1EC07FE1">
      <w:pPr>
        <w:ind w:left="360"/>
      </w:pPr>
      <w:r>
        <w:t>A</w:t>
      </w:r>
      <w:r w:rsidRPr="00D258CD" w:rsidR="00087FC0">
        <w:t> Gêmeo idêntico</w:t>
      </w:r>
    </w:p>
    <w:p w:rsidRPr="00D258CD" w:rsidR="00087FC0" w:rsidP="00087FC0" w:rsidRDefault="00087FC0" w14:paraId="26D2BAF2" w14:textId="0BC66BCD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 xml:space="preserve">Como o doador é geneticamente idêntico ao paciente, não haveria efeito enxerto </w:t>
      </w:r>
      <w:r w:rsidRPr="002909A3">
        <w:rPr>
          <w:i/>
          <w:iCs/>
          <w:color w:val="EE0000"/>
          <w:sz w:val="22"/>
        </w:rPr>
        <w:t>versus</w:t>
      </w:r>
      <w:r w:rsidR="002909A3">
        <w:rPr>
          <w:color w:val="EE0000"/>
          <w:sz w:val="22"/>
        </w:rPr>
        <w:t xml:space="preserve"> </w:t>
      </w:r>
      <w:r w:rsidRPr="00D258CD">
        <w:rPr>
          <w:color w:val="EE0000"/>
          <w:sz w:val="22"/>
        </w:rPr>
        <w:t>leucemia</w:t>
      </w:r>
      <w:r w:rsidR="002909A3">
        <w:rPr>
          <w:color w:val="EE0000"/>
          <w:sz w:val="22"/>
        </w:rPr>
        <w:t xml:space="preserve">, </w:t>
      </w:r>
      <w:r w:rsidRPr="00D258CD">
        <w:rPr>
          <w:color w:val="EE0000"/>
          <w:sz w:val="22"/>
        </w:rPr>
        <w:t>e isso reduziria significativamente a chance de cura da doença.</w:t>
      </w:r>
    </w:p>
    <w:p w:rsidRPr="00D258CD" w:rsidR="00087FC0" w:rsidP="00087FC0" w:rsidRDefault="00087FC0" w14:paraId="7D5A9F0A" w14:textId="2BA92043">
      <w:pPr>
        <w:ind w:left="360"/>
      </w:pPr>
      <w:r w:rsidRPr="00D258CD">
        <w:t>B Um doador não relacionado</w:t>
      </w:r>
      <w:r w:rsidR="002909A3">
        <w:t xml:space="preserve"> </w:t>
      </w:r>
      <w:r w:rsidRPr="00D258CD">
        <w:t>HLA</w:t>
      </w:r>
      <w:r w:rsidR="002909A3">
        <w:t>-compatível</w:t>
      </w:r>
    </w:p>
    <w:p w:rsidRPr="00D258CD" w:rsidR="00087FC0" w:rsidP="00087FC0" w:rsidRDefault="00087FC0" w14:paraId="18944DA1" w14:textId="579C5579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 xml:space="preserve">Há um risco aumentado de doença do enxerto </w:t>
      </w:r>
      <w:r w:rsidRPr="002909A3">
        <w:rPr>
          <w:i/>
          <w:iCs/>
          <w:color w:val="EE0000"/>
          <w:sz w:val="22"/>
        </w:rPr>
        <w:t>versus</w:t>
      </w:r>
      <w:r w:rsidR="002909A3">
        <w:rPr>
          <w:color w:val="EE0000"/>
          <w:sz w:val="22"/>
        </w:rPr>
        <w:t xml:space="preserve"> </w:t>
      </w:r>
      <w:r w:rsidRPr="00D258CD">
        <w:rPr>
          <w:color w:val="EE0000"/>
          <w:sz w:val="22"/>
        </w:rPr>
        <w:t>hospedeiro</w:t>
      </w:r>
      <w:r w:rsidR="002909A3">
        <w:rPr>
          <w:color w:val="EE0000"/>
          <w:sz w:val="22"/>
        </w:rPr>
        <w:t xml:space="preserve"> </w:t>
      </w:r>
      <w:r w:rsidRPr="00D258CD">
        <w:rPr>
          <w:color w:val="EE0000"/>
          <w:sz w:val="22"/>
        </w:rPr>
        <w:t>com um doador não relacionado.</w:t>
      </w:r>
    </w:p>
    <w:p w:rsidRPr="00D258CD" w:rsidR="00087FC0" w:rsidP="00087FC0" w:rsidRDefault="00087FC0" w14:paraId="0C72CADF" w14:textId="2F402A73">
      <w:pPr>
        <w:ind w:left="360"/>
      </w:pPr>
      <w:r w:rsidRPr="00D258CD">
        <w:rPr>
          <w:highlight w:val="green"/>
        </w:rPr>
        <w:t>C Um irmão doador HLA</w:t>
      </w:r>
      <w:r w:rsidR="002909A3">
        <w:t>-compatível</w:t>
      </w:r>
    </w:p>
    <w:p w:rsidRPr="00D258CD" w:rsidR="00087FC0" w:rsidP="00087FC0" w:rsidRDefault="002909A3" w14:paraId="2ADD7506" w14:textId="043703BB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Este</w:t>
      </w:r>
      <w:r w:rsidRPr="00D258CD" w:rsidR="00087FC0">
        <w:rPr>
          <w:color w:val="EE0000"/>
          <w:sz w:val="22"/>
        </w:rPr>
        <w:t xml:space="preserve"> ofereceria o grau ideal de incompatibilidade </w:t>
      </w:r>
      <w:proofErr w:type="spellStart"/>
      <w:r w:rsidRPr="00D258CD" w:rsidR="00087FC0">
        <w:rPr>
          <w:color w:val="EE0000"/>
          <w:sz w:val="22"/>
        </w:rPr>
        <w:t>alorreativa</w:t>
      </w:r>
      <w:proofErr w:type="spellEnd"/>
      <w:r w:rsidRPr="00D258CD" w:rsidR="00087FC0">
        <w:rPr>
          <w:color w:val="EE0000"/>
          <w:sz w:val="22"/>
        </w:rPr>
        <w:t xml:space="preserve"> para permitir o desenvolvimento de um grau de enxerto </w:t>
      </w:r>
      <w:r w:rsidRPr="002909A3" w:rsidR="00087FC0">
        <w:rPr>
          <w:i/>
          <w:iCs/>
          <w:color w:val="EE0000"/>
          <w:sz w:val="22"/>
        </w:rPr>
        <w:t>versus</w:t>
      </w:r>
      <w:r w:rsidRPr="00D258CD" w:rsidR="00087FC0">
        <w:rPr>
          <w:color w:val="EE0000"/>
          <w:sz w:val="22"/>
        </w:rPr>
        <w:t xml:space="preserve"> leucemia,</w:t>
      </w:r>
      <w:r>
        <w:rPr>
          <w:color w:val="EE0000"/>
          <w:sz w:val="22"/>
        </w:rPr>
        <w:t xml:space="preserve"> </w:t>
      </w:r>
      <w:r w:rsidRPr="00D258CD" w:rsidR="00087FC0">
        <w:rPr>
          <w:color w:val="EE0000"/>
          <w:sz w:val="22"/>
        </w:rPr>
        <w:t>que provavelmente será necessário para curar casos de leucemia aguda recidivante.</w:t>
      </w:r>
    </w:p>
    <w:p w:rsidRPr="00D258CD" w:rsidR="00087FC0" w:rsidP="00087FC0" w:rsidRDefault="00087FC0" w14:paraId="0CDF40DF" w14:textId="4D96CCAA">
      <w:pPr>
        <w:ind w:left="360"/>
      </w:pPr>
      <w:r w:rsidRPr="00D258CD">
        <w:t>D Doação de células-tronco do cordão umbilical</w:t>
      </w:r>
    </w:p>
    <w:p w:rsidRPr="00D258CD" w:rsidR="00087FC0" w:rsidP="00087FC0" w:rsidRDefault="00087FC0" w14:paraId="6BC86EBF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Há um atraso no enxerto e na reconstituição imune e, muitas vezes, é necessária uma segunda unidade do cordão umbilical para uma dose suficiente de células-tronco.</w:t>
      </w:r>
    </w:p>
    <w:p w:rsidRPr="00D258CD" w:rsidR="00087FC0" w:rsidP="00087FC0" w:rsidRDefault="00087FC0" w14:paraId="034D7706" w14:textId="3F539926">
      <w:pPr>
        <w:ind w:left="360"/>
      </w:pPr>
      <w:r w:rsidRPr="31B307BA" w:rsidR="31B307BA">
        <w:rPr>
          <w:b w:val="1"/>
          <w:bCs w:val="1"/>
        </w:rPr>
        <w:t>25.4 Qual infecção viral tem maior probabilidade de ser responsável por um quadro clínico de febre e infiltração pulmonar 6 semanas após um transplante alogênico de células-tronco?</w:t>
      </w:r>
    </w:p>
    <w:p w:rsidRPr="00D258CD" w:rsidR="00087FC0" w:rsidP="00087FC0" w:rsidRDefault="002909A3" w14:paraId="4DDBC85E" w14:textId="3A94AB83">
      <w:pPr>
        <w:ind w:left="360"/>
      </w:pPr>
      <w:r>
        <w:t>A</w:t>
      </w:r>
      <w:r w:rsidRPr="00D258CD" w:rsidR="00087FC0">
        <w:t> </w:t>
      </w:r>
      <w:r w:rsidRPr="00D258CD" w:rsidR="00087FC0">
        <w:rPr>
          <w:highlight w:val="green"/>
        </w:rPr>
        <w:t>Citomegalovírus</w:t>
      </w:r>
    </w:p>
    <w:p w:rsidRPr="00D258CD" w:rsidR="00087FC0" w:rsidP="00087FC0" w:rsidRDefault="00087FC0" w14:paraId="03A297EB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A reativação viral é comum nos primeiros 3 meses após o transplante.</w:t>
      </w:r>
    </w:p>
    <w:p w:rsidRPr="00D258CD" w:rsidR="00087FC0" w:rsidP="00087FC0" w:rsidRDefault="00087FC0" w14:paraId="0FAACDB8" w14:textId="63188C91">
      <w:pPr>
        <w:ind w:left="360"/>
      </w:pPr>
      <w:r w:rsidRPr="00D258CD">
        <w:t>B. Vírus da varicela</w:t>
      </w:r>
      <w:r w:rsidR="002909A3">
        <w:t>-</w:t>
      </w:r>
      <w:r w:rsidRPr="00D258CD">
        <w:t>z</w:t>
      </w:r>
      <w:r w:rsidR="002909A3">
        <w:t>ó</w:t>
      </w:r>
      <w:r w:rsidRPr="00D258CD">
        <w:t>ster</w:t>
      </w:r>
    </w:p>
    <w:p w:rsidRPr="00D258CD" w:rsidR="00087FC0" w:rsidP="00087FC0" w:rsidRDefault="002909A3" w14:paraId="26A2B9ED" w14:textId="7AB0A367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Este</w:t>
      </w:r>
      <w:r w:rsidRPr="00D258CD" w:rsidR="00087FC0">
        <w:rPr>
          <w:color w:val="EE0000"/>
          <w:sz w:val="22"/>
        </w:rPr>
        <w:t xml:space="preserve"> geralmente causa herpes</w:t>
      </w:r>
      <w:r>
        <w:rPr>
          <w:color w:val="EE0000"/>
          <w:sz w:val="22"/>
        </w:rPr>
        <w:t>-</w:t>
      </w:r>
      <w:r w:rsidRPr="00D258CD" w:rsidR="00087FC0">
        <w:rPr>
          <w:color w:val="EE0000"/>
          <w:sz w:val="22"/>
        </w:rPr>
        <w:t>z</w:t>
      </w:r>
      <w:r>
        <w:rPr>
          <w:color w:val="EE0000"/>
          <w:sz w:val="22"/>
        </w:rPr>
        <w:t>ó</w:t>
      </w:r>
      <w:r w:rsidRPr="00D258CD" w:rsidR="00087FC0">
        <w:rPr>
          <w:color w:val="EE0000"/>
          <w:sz w:val="22"/>
        </w:rPr>
        <w:t>ster, embora possa ocorrer infecção sistêmica.</w:t>
      </w:r>
    </w:p>
    <w:p w:rsidRPr="00D258CD" w:rsidR="00087FC0" w:rsidP="00087FC0" w:rsidRDefault="00087FC0" w14:paraId="4BC387C6" w14:textId="415E5CD9">
      <w:pPr>
        <w:ind w:left="360"/>
      </w:pPr>
      <w:r w:rsidRPr="00D258CD">
        <w:t xml:space="preserve">C Vírus </w:t>
      </w:r>
      <w:r w:rsidR="002909A3">
        <w:t xml:space="preserve">do </w:t>
      </w:r>
      <w:r w:rsidRPr="00D258CD">
        <w:t>herpes simple</w:t>
      </w:r>
      <w:r w:rsidR="002909A3">
        <w:t>s</w:t>
      </w:r>
    </w:p>
    <w:p w:rsidRPr="00D258CD" w:rsidR="00087FC0" w:rsidP="00087FC0" w:rsidRDefault="002909A3" w14:paraId="273C8621" w14:textId="11E7DA23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Este </w:t>
      </w:r>
      <w:r w:rsidRPr="00D258CD" w:rsidR="00087FC0">
        <w:rPr>
          <w:color w:val="EE0000"/>
          <w:sz w:val="22"/>
        </w:rPr>
        <w:t>tende a causar problemas clínicos na forma de úlceras na boca e herpes labial.</w:t>
      </w:r>
    </w:p>
    <w:p w:rsidRPr="00D258CD" w:rsidR="00087FC0" w:rsidP="00087FC0" w:rsidRDefault="00087FC0" w14:paraId="57F2799A" w14:textId="2E095C94">
      <w:pPr>
        <w:ind w:left="360"/>
      </w:pPr>
      <w:r w:rsidRPr="00D258CD">
        <w:t xml:space="preserve">D Vírus </w:t>
      </w:r>
      <w:r w:rsidR="002909A3">
        <w:t>influenza</w:t>
      </w:r>
    </w:p>
    <w:p w:rsidRPr="00D258CD" w:rsidR="00087FC0" w:rsidP="00087FC0" w:rsidRDefault="00087FC0" w14:paraId="0C2FEC14" w14:textId="7BA7C8E1">
      <w:pPr>
        <w:ind w:left="360"/>
      </w:pPr>
      <w:r w:rsidRPr="31B307BA" w:rsidR="31B307BA">
        <w:rPr>
          <w:b w:val="1"/>
          <w:bCs w:val="1"/>
        </w:rPr>
        <w:t>25.5 Quais desses pacientes podem ser considerados mais adequados para o transplante autólogo de células-tronco?</w:t>
      </w:r>
    </w:p>
    <w:p w:rsidRPr="00D258CD" w:rsidR="00087FC0" w:rsidP="00087FC0" w:rsidRDefault="002909A3" w14:paraId="25807AA8" w14:textId="13D63E51">
      <w:pPr>
        <w:ind w:left="360"/>
      </w:pPr>
      <w:r>
        <w:t>A</w:t>
      </w:r>
      <w:r w:rsidRPr="00D258CD" w:rsidR="00087FC0">
        <w:t xml:space="preserve"> Uma criança com imunodeficiência hereditária</w:t>
      </w:r>
    </w:p>
    <w:p w:rsidRPr="00D258CD" w:rsidR="00087FC0" w:rsidP="00087FC0" w:rsidRDefault="006F1AB8" w14:paraId="4CEE4C22" w14:textId="01C3FA10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Não é curável.</w:t>
      </w:r>
    </w:p>
    <w:p w:rsidRPr="00D258CD" w:rsidR="00087FC0" w:rsidP="00087FC0" w:rsidRDefault="00087FC0" w14:paraId="6CEB8AAB" w14:textId="41CCDAB5">
      <w:pPr>
        <w:ind w:left="360"/>
      </w:pPr>
      <w:r w:rsidRPr="00D258CD">
        <w:t>B Uma pessoa de 40</w:t>
      </w:r>
      <w:r w:rsidR="006F1AB8">
        <w:t xml:space="preserve"> </w:t>
      </w:r>
      <w:r w:rsidRPr="00D258CD">
        <w:t>anos</w:t>
      </w:r>
      <w:r w:rsidR="006F1AB8">
        <w:t xml:space="preserve"> </w:t>
      </w:r>
      <w:r w:rsidRPr="00D258CD">
        <w:t>com recidiva de leucemia miel</w:t>
      </w:r>
      <w:r w:rsidR="006F1AB8">
        <w:t>o</w:t>
      </w:r>
      <w:r w:rsidRPr="00D258CD">
        <w:t>ide aguda</w:t>
      </w:r>
    </w:p>
    <w:p w:rsidRPr="00D258CD" w:rsidR="00087FC0" w:rsidP="00087FC0" w:rsidRDefault="00087FC0" w14:paraId="2333A58E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lastRenderedPageBreak/>
        <w:t>O transplante alogênico oferece possibilidade de cura.</w:t>
      </w:r>
    </w:p>
    <w:p w:rsidRPr="00D258CD" w:rsidR="00087FC0" w:rsidP="00087FC0" w:rsidRDefault="00087FC0" w14:paraId="0F62ED90" w14:textId="588EB1C4">
      <w:pPr>
        <w:ind w:left="360"/>
      </w:pPr>
      <w:r w:rsidRPr="00D258CD">
        <w:t>C Uma criança</w:t>
      </w:r>
      <w:r w:rsidR="006F1AB8">
        <w:t xml:space="preserve"> </w:t>
      </w:r>
      <w:r w:rsidRPr="00D258CD">
        <w:t>de</w:t>
      </w:r>
      <w:r w:rsidR="006F1AB8">
        <w:t xml:space="preserve"> </w:t>
      </w:r>
      <w:r w:rsidRPr="00D258CD">
        <w:t>6anos</w:t>
      </w:r>
      <w:r w:rsidR="006F1AB8">
        <w:t xml:space="preserve"> </w:t>
      </w:r>
      <w:r w:rsidRPr="00D258CD">
        <w:t>com talassemia ma</w:t>
      </w:r>
      <w:r w:rsidR="006F1AB8">
        <w:t>io</w:t>
      </w:r>
      <w:r w:rsidRPr="00D258CD">
        <w:t>r</w:t>
      </w:r>
    </w:p>
    <w:p w:rsidRPr="00D258CD" w:rsidR="00087FC0" w:rsidP="00087FC0" w:rsidRDefault="006F1AB8" w14:paraId="614070E5" w14:textId="41E07103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Não é curável</w:t>
      </w:r>
      <w:r w:rsidRPr="00D258CD" w:rsidR="00087FC0">
        <w:rPr>
          <w:color w:val="EE0000"/>
          <w:sz w:val="22"/>
        </w:rPr>
        <w:t>.</w:t>
      </w:r>
    </w:p>
    <w:p w:rsidRPr="00D258CD" w:rsidR="00087FC0" w:rsidP="00087FC0" w:rsidRDefault="00087FC0" w14:paraId="0037FB41" w14:textId="78EB7792">
      <w:pPr>
        <w:ind w:left="360"/>
      </w:pPr>
      <w:r w:rsidRPr="00D258CD">
        <w:rPr>
          <w:highlight w:val="green"/>
        </w:rPr>
        <w:t xml:space="preserve">D </w:t>
      </w:r>
      <w:r w:rsidR="006F1AB8">
        <w:rPr>
          <w:highlight w:val="green"/>
        </w:rPr>
        <w:t>Uma m</w:t>
      </w:r>
      <w:r w:rsidRPr="00D258CD">
        <w:rPr>
          <w:highlight w:val="green"/>
        </w:rPr>
        <w:t>ulher de</w:t>
      </w:r>
      <w:r w:rsidR="006F1AB8">
        <w:rPr>
          <w:highlight w:val="green"/>
        </w:rPr>
        <w:t xml:space="preserve"> </w:t>
      </w:r>
      <w:r w:rsidRPr="00D258CD">
        <w:rPr>
          <w:highlight w:val="green"/>
        </w:rPr>
        <w:t>57</w:t>
      </w:r>
      <w:r w:rsidR="006F1AB8">
        <w:rPr>
          <w:highlight w:val="green"/>
        </w:rPr>
        <w:t xml:space="preserve"> </w:t>
      </w:r>
      <w:r w:rsidRPr="00D258CD">
        <w:rPr>
          <w:highlight w:val="green"/>
        </w:rPr>
        <w:t>anos</w:t>
      </w:r>
      <w:r w:rsidR="006F1AB8">
        <w:rPr>
          <w:highlight w:val="green"/>
        </w:rPr>
        <w:t xml:space="preserve"> </w:t>
      </w:r>
      <w:r w:rsidRPr="00D258CD">
        <w:rPr>
          <w:highlight w:val="green"/>
        </w:rPr>
        <w:t>com mieloma</w:t>
      </w:r>
    </w:p>
    <w:p w:rsidRPr="00D258CD" w:rsidR="00087FC0" w:rsidP="00087FC0" w:rsidRDefault="00087FC0" w14:paraId="7EAE9BF7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 xml:space="preserve">Os </w:t>
      </w:r>
      <w:proofErr w:type="spellStart"/>
      <w:r w:rsidRPr="00D258CD">
        <w:rPr>
          <w:color w:val="EE0000"/>
          <w:sz w:val="22"/>
        </w:rPr>
        <w:t>autoenxertos</w:t>
      </w:r>
      <w:proofErr w:type="spellEnd"/>
      <w:r w:rsidRPr="00D258CD">
        <w:rPr>
          <w:color w:val="EE0000"/>
          <w:sz w:val="22"/>
        </w:rPr>
        <w:t xml:space="preserve"> são geralmente considerados uma parte ideal da terapia para pacientes com menos de 70 anos de idade.</w:t>
      </w:r>
    </w:p>
    <w:p w:rsidRPr="00D258CD" w:rsidR="00087FC0" w:rsidP="00087FC0" w:rsidRDefault="00087FC0" w14:paraId="0BA24B25" w14:textId="23836C84">
      <w:pPr>
        <w:ind w:left="360"/>
      </w:pPr>
      <w:r w:rsidRPr="31B307BA" w:rsidR="31B307BA">
        <w:rPr>
          <w:b w:val="1"/>
          <w:bCs w:val="1"/>
        </w:rPr>
        <w:t>25.6 Qual destes é mais útil para avaliar se uma doação de células-tronco tem um número adequado de células-tronco antes do transplante?</w:t>
      </w:r>
    </w:p>
    <w:p w:rsidRPr="00D258CD" w:rsidR="00087FC0" w:rsidP="00087FC0" w:rsidRDefault="00087FC0" w14:paraId="6C298868" w14:textId="1DD98CB5">
      <w:pPr>
        <w:ind w:left="360"/>
      </w:pPr>
      <w:r w:rsidRPr="00D258CD">
        <w:t>A A depleção relativa das células T</w:t>
      </w:r>
    </w:p>
    <w:p w:rsidRPr="00D258CD" w:rsidR="00087FC0" w:rsidP="00087FC0" w:rsidRDefault="00711742" w14:paraId="1062DFF1" w14:textId="34E430F9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Esta</w:t>
      </w:r>
      <w:r w:rsidRPr="00D258CD" w:rsidR="00087FC0">
        <w:rPr>
          <w:color w:val="EE0000"/>
          <w:sz w:val="22"/>
        </w:rPr>
        <w:t xml:space="preserve"> só é útil para avaliar o potencial de doença do enxerto</w:t>
      </w:r>
      <w:r>
        <w:rPr>
          <w:color w:val="EE0000"/>
          <w:sz w:val="22"/>
        </w:rPr>
        <w:t xml:space="preserve"> </w:t>
      </w:r>
      <w:r w:rsidRPr="00711742" w:rsidR="00087FC0">
        <w:rPr>
          <w:i/>
          <w:iCs/>
          <w:color w:val="EE0000"/>
          <w:sz w:val="22"/>
        </w:rPr>
        <w:t>versus</w:t>
      </w:r>
      <w:r>
        <w:rPr>
          <w:color w:val="EE0000"/>
          <w:sz w:val="22"/>
        </w:rPr>
        <w:t xml:space="preserve"> </w:t>
      </w:r>
      <w:r w:rsidRPr="00D258CD" w:rsidR="00087FC0">
        <w:rPr>
          <w:color w:val="EE0000"/>
          <w:sz w:val="22"/>
        </w:rPr>
        <w:t>hospedeiro.</w:t>
      </w:r>
    </w:p>
    <w:p w:rsidRPr="00D258CD" w:rsidR="00087FC0" w:rsidP="00087FC0" w:rsidRDefault="00087FC0" w14:paraId="3C35D23B" w14:textId="0903E266">
      <w:pPr>
        <w:ind w:left="360"/>
      </w:pPr>
      <w:r w:rsidRPr="00D258CD">
        <w:rPr>
          <w:highlight w:val="green"/>
        </w:rPr>
        <w:t>B O número de células</w:t>
      </w:r>
      <w:r w:rsidR="00711742">
        <w:rPr>
          <w:highlight w:val="green"/>
        </w:rPr>
        <w:t xml:space="preserve"> </w:t>
      </w:r>
      <w:r w:rsidRPr="00711742">
        <w:rPr>
          <w:highlight w:val="green"/>
        </w:rPr>
        <w:t>CD34</w:t>
      </w:r>
      <w:r w:rsidRPr="00D258CD">
        <w:rPr>
          <w:highlight w:val="green"/>
          <w:vertAlign w:val="superscript"/>
        </w:rPr>
        <w:t>+</w:t>
      </w:r>
      <w:r w:rsidR="00711742">
        <w:rPr>
          <w:highlight w:val="green"/>
        </w:rPr>
        <w:t xml:space="preserve"> </w:t>
      </w:r>
      <w:r w:rsidRPr="00D258CD">
        <w:rPr>
          <w:highlight w:val="green"/>
        </w:rPr>
        <w:t>no enxerto</w:t>
      </w:r>
    </w:p>
    <w:p w:rsidRPr="00D258CD" w:rsidR="00087FC0" w:rsidP="00087FC0" w:rsidRDefault="00087FC0" w14:paraId="77CEE551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CD34</w:t>
      </w:r>
      <w:r w:rsidRPr="00D258CD">
        <w:rPr>
          <w:color w:val="EE0000"/>
          <w:sz w:val="22"/>
          <w:vertAlign w:val="superscript"/>
        </w:rPr>
        <w:t>+</w:t>
      </w:r>
      <w:r w:rsidRPr="00D258CD">
        <w:rPr>
          <w:color w:val="EE0000"/>
          <w:sz w:val="22"/>
        </w:rPr>
        <w:t> é um marcador de células-tronco.</w:t>
      </w:r>
    </w:p>
    <w:p w:rsidRPr="00D258CD" w:rsidR="00087FC0" w:rsidP="00087FC0" w:rsidRDefault="00087FC0" w14:paraId="574043FE" w14:textId="2BC82F03">
      <w:pPr>
        <w:ind w:left="360"/>
      </w:pPr>
      <w:r w:rsidRPr="00D258CD">
        <w:t>C O número de células mieloides CD33</w:t>
      </w:r>
      <w:r w:rsidRPr="00D258CD">
        <w:rPr>
          <w:vertAlign w:val="superscript"/>
        </w:rPr>
        <w:t>+</w:t>
      </w:r>
      <w:r w:rsidRPr="00D258CD">
        <w:t> no enxerto</w:t>
      </w:r>
    </w:p>
    <w:p w:rsidRPr="00D258CD" w:rsidR="00087FC0" w:rsidP="00087FC0" w:rsidRDefault="00087FC0" w14:paraId="577D52F2" w14:textId="65C1B14C">
      <w:pPr>
        <w:ind w:left="360"/>
      </w:pPr>
      <w:r w:rsidRPr="00D258CD">
        <w:t>D A contagem total de células nucleadas</w:t>
      </w:r>
    </w:p>
    <w:p w:rsidRPr="00D258CD" w:rsidR="00087FC0" w:rsidP="00087FC0" w:rsidRDefault="00087FC0" w14:paraId="7DE3E86D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A contagem total de células não é um bom guia para o potencial das células-tronco.</w:t>
      </w:r>
    </w:p>
    <w:p w:rsidRPr="00D258CD" w:rsidR="00087FC0" w:rsidP="00087FC0" w:rsidRDefault="00087FC0" w14:paraId="2B58879F" w14:textId="7699C5EC">
      <w:pPr>
        <w:ind w:left="360"/>
      </w:pPr>
      <w:r w:rsidRPr="31B307BA" w:rsidR="31B307BA">
        <w:rPr>
          <w:b w:val="1"/>
          <w:bCs w:val="1"/>
        </w:rPr>
        <w:t>25.7 Qual destes é uma vantagem clínica do transplante autólogo de células-tronco em relação ao transplante alogênico?</w:t>
      </w:r>
    </w:p>
    <w:p w:rsidRPr="00D258CD" w:rsidR="00087FC0" w:rsidP="00087FC0" w:rsidRDefault="006209EB" w14:paraId="7E57B97F" w14:textId="2BBFD39B">
      <w:pPr>
        <w:ind w:left="360"/>
      </w:pPr>
      <w:r>
        <w:t>A</w:t>
      </w:r>
      <w:r w:rsidRPr="00D258CD" w:rsidR="00087FC0">
        <w:t xml:space="preserve"> As células-tronco são coletadas após a quimioterapia e, portanto, há menos contaminação pelas células tumorais</w:t>
      </w:r>
    </w:p>
    <w:p w:rsidRPr="00D258CD" w:rsidR="00087FC0" w:rsidP="00087FC0" w:rsidRDefault="00087FC0" w14:paraId="06743C12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Os doadores alogênicos não têm células tumorais.</w:t>
      </w:r>
    </w:p>
    <w:p w:rsidRPr="00D258CD" w:rsidR="00087FC0" w:rsidP="00087FC0" w:rsidRDefault="00087FC0" w14:paraId="343126A0" w14:textId="6AEFAFE0">
      <w:pPr>
        <w:ind w:left="360"/>
      </w:pPr>
      <w:r w:rsidRPr="00D258CD">
        <w:rPr>
          <w:highlight w:val="green"/>
        </w:rPr>
        <w:t>B Há menos oportunidades de doença do enxerto</w:t>
      </w:r>
      <w:r w:rsidR="006209EB">
        <w:rPr>
          <w:highlight w:val="green"/>
        </w:rPr>
        <w:t xml:space="preserve"> </w:t>
      </w:r>
      <w:r w:rsidRPr="006209EB">
        <w:rPr>
          <w:i/>
          <w:iCs/>
          <w:highlight w:val="green"/>
        </w:rPr>
        <w:t>versus</w:t>
      </w:r>
      <w:r w:rsidR="006209EB">
        <w:rPr>
          <w:highlight w:val="green"/>
        </w:rPr>
        <w:t xml:space="preserve"> </w:t>
      </w:r>
      <w:r w:rsidRPr="00D258CD">
        <w:rPr>
          <w:highlight w:val="green"/>
        </w:rPr>
        <w:t>hospedeiro</w:t>
      </w:r>
    </w:p>
    <w:p w:rsidRPr="00D258CD" w:rsidR="00087FC0" w:rsidP="00087FC0" w:rsidRDefault="006209EB" w14:paraId="5CA3A8C8" w14:textId="599A8321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Assim</w:t>
      </w:r>
      <w:r w:rsidRPr="00D258CD" w:rsidR="00087FC0">
        <w:rPr>
          <w:color w:val="EE0000"/>
          <w:sz w:val="22"/>
        </w:rPr>
        <w:t>, a mortalidade relacionada ao transplante nos primeiros 100 dias é significativamente reduzida.</w:t>
      </w:r>
    </w:p>
    <w:p w:rsidRPr="00D258CD" w:rsidR="00087FC0" w:rsidP="00087FC0" w:rsidRDefault="00087FC0" w14:paraId="0D8EE6A3" w14:textId="17A5629B">
      <w:pPr>
        <w:ind w:left="360"/>
      </w:pPr>
      <w:r w:rsidRPr="00D258CD">
        <w:t>C Há mais chances de alcançar um resultado curativo</w:t>
      </w:r>
    </w:p>
    <w:p w:rsidRPr="00D258CD" w:rsidR="00087FC0" w:rsidP="00087FC0" w:rsidRDefault="00087FC0" w14:paraId="3E32B6DC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O transplante alogênico de células-tronco é mais curativo.</w:t>
      </w:r>
    </w:p>
    <w:p w:rsidRPr="00D258CD" w:rsidR="00087FC0" w:rsidP="00087FC0" w:rsidRDefault="00087FC0" w14:paraId="3A9DDFE0" w14:textId="25627808">
      <w:pPr>
        <w:ind w:left="360"/>
      </w:pPr>
      <w:r w:rsidRPr="00D258CD">
        <w:t>D A ciclosporina pode ser reduzida mais rapidamente após transplantes autólogos</w:t>
      </w:r>
    </w:p>
    <w:p w:rsidRPr="00D258CD" w:rsidR="00087FC0" w:rsidP="00087FC0" w:rsidRDefault="00087FC0" w14:paraId="55A278EE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Isso não é necessário para transplantes autólogos.</w:t>
      </w:r>
    </w:p>
    <w:p w:rsidRPr="00D258CD" w:rsidR="00087FC0" w:rsidP="00087FC0" w:rsidRDefault="00087FC0" w14:paraId="55061328" w14:textId="159404B4">
      <w:pPr>
        <w:ind w:left="360"/>
      </w:pPr>
      <w:r w:rsidRPr="31B307BA" w:rsidR="31B307BA">
        <w:rPr>
          <w:b w:val="1"/>
          <w:bCs w:val="1"/>
        </w:rPr>
        <w:t xml:space="preserve">25.8 Qual destes é o quadro clínico mais típico da doença aguda do enxerto </w:t>
      </w:r>
      <w:r w:rsidRPr="31B307BA" w:rsidR="31B307BA">
        <w:rPr>
          <w:b w:val="1"/>
          <w:bCs w:val="1"/>
          <w:i w:val="1"/>
          <w:iCs w:val="1"/>
        </w:rPr>
        <w:t>versus</w:t>
      </w:r>
      <w:r w:rsidRPr="31B307BA" w:rsidR="31B307BA">
        <w:rPr>
          <w:b w:val="1"/>
          <w:bCs w:val="1"/>
        </w:rPr>
        <w:t xml:space="preserve"> hospedeiro?</w:t>
      </w:r>
    </w:p>
    <w:p w:rsidRPr="00D258CD" w:rsidR="00087FC0" w:rsidP="00087FC0" w:rsidRDefault="00502766" w14:paraId="6519D76C" w14:textId="67496E8C">
      <w:pPr>
        <w:ind w:left="360"/>
      </w:pPr>
      <w:r>
        <w:t>A</w:t>
      </w:r>
      <w:r w:rsidRPr="00D258CD" w:rsidR="00087FC0">
        <w:t> </w:t>
      </w:r>
      <w:r w:rsidRPr="00D258CD" w:rsidR="00087FC0">
        <w:rPr>
          <w:highlight w:val="green"/>
        </w:rPr>
        <w:t>Erupção cutânea eritematosa e aumento do nível de bilirrubina</w:t>
      </w:r>
    </w:p>
    <w:p w:rsidRPr="00D258CD" w:rsidR="00087FC0" w:rsidP="00087FC0" w:rsidRDefault="00087FC0" w14:paraId="2B6A27AC" w14:textId="29B0F775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lastRenderedPageBreak/>
        <w:t>A doença aguda do</w:t>
      </w:r>
      <w:r w:rsidR="00403A04">
        <w:rPr>
          <w:color w:val="EE0000"/>
          <w:sz w:val="22"/>
        </w:rPr>
        <w:t xml:space="preserve"> </w:t>
      </w:r>
      <w:r w:rsidRPr="00D258CD">
        <w:rPr>
          <w:color w:val="EE0000"/>
          <w:sz w:val="22"/>
        </w:rPr>
        <w:t>enxerto</w:t>
      </w:r>
      <w:r w:rsidR="00403A04">
        <w:rPr>
          <w:color w:val="EE0000"/>
          <w:sz w:val="22"/>
        </w:rPr>
        <w:t xml:space="preserve"> </w:t>
      </w:r>
      <w:r w:rsidRPr="00403A04">
        <w:rPr>
          <w:i/>
          <w:iCs/>
          <w:color w:val="EE0000"/>
          <w:sz w:val="22"/>
        </w:rPr>
        <w:t>versus</w:t>
      </w:r>
      <w:r w:rsidR="00403A04">
        <w:rPr>
          <w:color w:val="EE0000"/>
          <w:sz w:val="22"/>
        </w:rPr>
        <w:t xml:space="preserve"> </w:t>
      </w:r>
      <w:r w:rsidRPr="00D258CD">
        <w:rPr>
          <w:color w:val="EE0000"/>
          <w:sz w:val="22"/>
        </w:rPr>
        <w:t>hospedeiro tende a afetar a pele, o fígado e o intestino.</w:t>
      </w:r>
    </w:p>
    <w:p w:rsidRPr="00D258CD" w:rsidR="00087FC0" w:rsidP="00087FC0" w:rsidRDefault="00087FC0" w14:paraId="2280B85E" w14:textId="0722DD82">
      <w:pPr>
        <w:ind w:left="360"/>
      </w:pPr>
      <w:r w:rsidRPr="00D258CD">
        <w:t>B Insuficiência renal e urticária</w:t>
      </w:r>
    </w:p>
    <w:p w:rsidRPr="00D258CD" w:rsidR="00087FC0" w:rsidP="00087FC0" w:rsidRDefault="00087FC0" w14:paraId="3F2DC18B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Insuficiência renal e urticária não são características.</w:t>
      </w:r>
    </w:p>
    <w:p w:rsidRPr="00D258CD" w:rsidR="00087FC0" w:rsidP="00087FC0" w:rsidRDefault="00087FC0" w14:paraId="5966D1B4" w14:textId="5F98863D">
      <w:pPr>
        <w:ind w:left="360"/>
      </w:pPr>
      <w:r w:rsidRPr="00D258CD">
        <w:t>C Úlceras bucais e contraturas articulares</w:t>
      </w:r>
    </w:p>
    <w:p w:rsidRPr="00D258CD" w:rsidR="00087FC0" w:rsidP="00087FC0" w:rsidRDefault="00403A04" w14:paraId="5887C8EC" w14:textId="115DEE61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Estas</w:t>
      </w:r>
      <w:r w:rsidRPr="00D258CD" w:rsidR="00087FC0">
        <w:rPr>
          <w:color w:val="EE0000"/>
          <w:sz w:val="22"/>
        </w:rPr>
        <w:t xml:space="preserve"> </w:t>
      </w:r>
      <w:r>
        <w:rPr>
          <w:color w:val="EE0000"/>
          <w:sz w:val="22"/>
        </w:rPr>
        <w:t>são</w:t>
      </w:r>
      <w:r w:rsidRPr="00D258CD" w:rsidR="00087FC0">
        <w:rPr>
          <w:color w:val="EE0000"/>
          <w:sz w:val="22"/>
        </w:rPr>
        <w:t xml:space="preserve"> característic</w:t>
      </w:r>
      <w:r>
        <w:rPr>
          <w:color w:val="EE0000"/>
          <w:sz w:val="22"/>
        </w:rPr>
        <w:t>as</w:t>
      </w:r>
      <w:r w:rsidRPr="00D258CD" w:rsidR="00087FC0">
        <w:rPr>
          <w:color w:val="EE0000"/>
          <w:sz w:val="22"/>
        </w:rPr>
        <w:t xml:space="preserve"> da doença crônica do</w:t>
      </w:r>
      <w:r>
        <w:rPr>
          <w:color w:val="EE0000"/>
          <w:sz w:val="22"/>
        </w:rPr>
        <w:t xml:space="preserve"> </w:t>
      </w:r>
      <w:r w:rsidRPr="00D258CD" w:rsidR="00087FC0">
        <w:rPr>
          <w:color w:val="EE0000"/>
          <w:sz w:val="22"/>
        </w:rPr>
        <w:t>enxerto</w:t>
      </w:r>
      <w:r>
        <w:rPr>
          <w:color w:val="EE0000"/>
          <w:sz w:val="22"/>
        </w:rPr>
        <w:t xml:space="preserve"> </w:t>
      </w:r>
      <w:r w:rsidRPr="00403A04" w:rsidR="00087FC0">
        <w:rPr>
          <w:i/>
          <w:iCs/>
          <w:color w:val="EE0000"/>
          <w:sz w:val="22"/>
        </w:rPr>
        <w:t>versus</w:t>
      </w:r>
      <w:r>
        <w:rPr>
          <w:color w:val="EE0000"/>
          <w:sz w:val="22"/>
        </w:rPr>
        <w:t xml:space="preserve"> </w:t>
      </w:r>
      <w:r w:rsidRPr="00D258CD" w:rsidR="00087FC0">
        <w:rPr>
          <w:color w:val="EE0000"/>
          <w:sz w:val="22"/>
        </w:rPr>
        <w:t>hospedeiro, não aguda.</w:t>
      </w:r>
    </w:p>
    <w:p w:rsidRPr="00D258CD" w:rsidR="00087FC0" w:rsidP="00087FC0" w:rsidRDefault="00087FC0" w14:paraId="6C33DA1A" w14:textId="7962ACF8">
      <w:pPr>
        <w:ind w:left="360"/>
      </w:pPr>
      <w:r w:rsidRPr="00D258CD">
        <w:t>D Imunodeficiência e fibrose pulmonar</w:t>
      </w:r>
    </w:p>
    <w:p w:rsidRPr="00D258CD" w:rsidR="00087FC0" w:rsidP="00087FC0" w:rsidRDefault="00087FC0" w14:paraId="1C430584" w14:textId="170D6BD2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 xml:space="preserve">Embora ambas as formas de </w:t>
      </w:r>
      <w:r w:rsidR="00403A04">
        <w:rPr>
          <w:color w:val="EE0000"/>
          <w:sz w:val="22"/>
        </w:rPr>
        <w:t xml:space="preserve">DEVH </w:t>
      </w:r>
      <w:r w:rsidRPr="00D258CD">
        <w:rPr>
          <w:color w:val="EE0000"/>
          <w:sz w:val="22"/>
        </w:rPr>
        <w:t xml:space="preserve">tenham deficiência imunológica, a fibrose pulmonar é típica da doença crônica do enxerto </w:t>
      </w:r>
      <w:r w:rsidRPr="00403A04">
        <w:rPr>
          <w:i/>
          <w:iCs/>
          <w:color w:val="EE0000"/>
          <w:sz w:val="22"/>
        </w:rPr>
        <w:t>versus</w:t>
      </w:r>
      <w:r w:rsidRPr="00D258CD">
        <w:rPr>
          <w:color w:val="EE0000"/>
          <w:sz w:val="22"/>
        </w:rPr>
        <w:t xml:space="preserve"> do hospedeiro,</w:t>
      </w:r>
      <w:r w:rsidR="00403A04">
        <w:rPr>
          <w:color w:val="EE0000"/>
          <w:sz w:val="22"/>
        </w:rPr>
        <w:t xml:space="preserve"> </w:t>
      </w:r>
      <w:r w:rsidRPr="00D258CD">
        <w:rPr>
          <w:color w:val="EE0000"/>
          <w:sz w:val="22"/>
        </w:rPr>
        <w:t>não aguda.</w:t>
      </w:r>
    </w:p>
    <w:p w:rsidRPr="00D258CD" w:rsidR="00087FC0" w:rsidP="00087FC0" w:rsidRDefault="00087FC0" w14:paraId="52376C59" w14:textId="13787D1C">
      <w:pPr>
        <w:ind w:left="360"/>
      </w:pPr>
      <w:r w:rsidRPr="00D258CD">
        <w:rPr>
          <w:b/>
        </w:rPr>
        <w:t>25.9 Qual dessas afirmações é VERDADEIRA em relação às infusões de leucócitos de doadores (</w:t>
      </w:r>
      <w:r w:rsidR="00015F2B">
        <w:rPr>
          <w:b/>
        </w:rPr>
        <w:t>ILD</w:t>
      </w:r>
      <w:r w:rsidRPr="00D258CD">
        <w:rPr>
          <w:b/>
        </w:rPr>
        <w:t>)?</w:t>
      </w:r>
    </w:p>
    <w:p w:rsidRPr="00D258CD" w:rsidR="00087FC0" w:rsidP="00087FC0" w:rsidRDefault="00087FC0" w14:paraId="3344728B" w14:textId="745D9A23">
      <w:pPr>
        <w:ind w:left="360"/>
      </w:pPr>
      <w:r w:rsidRPr="00D258CD">
        <w:t>A A dose administrada é calculada pelo número de células B na infusão.</w:t>
      </w:r>
    </w:p>
    <w:p w:rsidRPr="00D258CD" w:rsidR="00087FC0" w:rsidP="00087FC0" w:rsidRDefault="00087FC0" w14:paraId="63EAFAA9" w14:textId="118CA3AE">
      <w:pPr>
        <w:ind w:left="360"/>
      </w:pPr>
      <w:r w:rsidRPr="00D258CD">
        <w:t>B Este tratamento pode curar a leucemia miel</w:t>
      </w:r>
      <w:r w:rsidR="00015F2B">
        <w:t>o</w:t>
      </w:r>
      <w:r w:rsidRPr="00D258CD">
        <w:t>ide crônica, desde que a quimioterapia também seja administrada.</w:t>
      </w:r>
    </w:p>
    <w:p w:rsidRPr="00D258CD" w:rsidR="00087FC0" w:rsidP="00087FC0" w:rsidRDefault="00087FC0" w14:paraId="489F2020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Pode curar mesmo sem quimioterapia adicional.</w:t>
      </w:r>
    </w:p>
    <w:p w:rsidRPr="00D258CD" w:rsidR="00087FC0" w:rsidP="00087FC0" w:rsidRDefault="00087FC0" w14:paraId="1BA059B2" w14:textId="0D5DEDCE">
      <w:pPr>
        <w:ind w:left="360"/>
      </w:pPr>
      <w:r w:rsidRPr="00D258CD">
        <w:rPr>
          <w:highlight w:val="green"/>
        </w:rPr>
        <w:t xml:space="preserve">C </w:t>
      </w:r>
      <w:r w:rsidR="00015F2B">
        <w:rPr>
          <w:highlight w:val="green"/>
        </w:rPr>
        <w:t xml:space="preserve">A ILD </w:t>
      </w:r>
      <w:r w:rsidRPr="00D258CD">
        <w:rPr>
          <w:highlight w:val="green"/>
        </w:rPr>
        <w:t>é administrad</w:t>
      </w:r>
      <w:r w:rsidR="00015F2B">
        <w:rPr>
          <w:highlight w:val="green"/>
        </w:rPr>
        <w:t>a</w:t>
      </w:r>
      <w:r w:rsidRPr="00D258CD">
        <w:rPr>
          <w:highlight w:val="green"/>
        </w:rPr>
        <w:t xml:space="preserve"> como uma infusão intravenosa, mais ou menos como uma transfusão de sangue.</w:t>
      </w:r>
    </w:p>
    <w:p w:rsidRPr="00D258CD" w:rsidR="00087FC0" w:rsidP="00087FC0" w:rsidRDefault="00015F2B" w14:paraId="719DD4FB" w14:textId="10D1FAF0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Correto</w:t>
      </w:r>
      <w:r w:rsidRPr="00D258CD" w:rsidR="00087FC0">
        <w:rPr>
          <w:color w:val="EE0000"/>
          <w:sz w:val="22"/>
        </w:rPr>
        <w:t>.</w:t>
      </w:r>
    </w:p>
    <w:p w:rsidRPr="00D258CD" w:rsidR="00087FC0" w:rsidP="00087FC0" w:rsidRDefault="00087FC0" w14:paraId="4F00A0C9" w14:textId="04525801">
      <w:pPr>
        <w:ind w:left="360"/>
      </w:pPr>
      <w:r w:rsidRPr="00D258CD">
        <w:t xml:space="preserve">D </w:t>
      </w:r>
      <w:r w:rsidR="00015F2B">
        <w:t xml:space="preserve">A ILD </w:t>
      </w:r>
      <w:r w:rsidRPr="00D258CD">
        <w:t>administrad</w:t>
      </w:r>
      <w:r w:rsidR="00015F2B">
        <w:t>a</w:t>
      </w:r>
      <w:r w:rsidRPr="00D258CD">
        <w:t xml:space="preserve"> logo após o transplante tem um risco reduzido de causar doença do enxerto </w:t>
      </w:r>
      <w:r w:rsidRPr="00015F2B">
        <w:rPr>
          <w:i/>
          <w:iCs/>
        </w:rPr>
        <w:t>versus</w:t>
      </w:r>
      <w:r w:rsidR="00015F2B">
        <w:t xml:space="preserve"> </w:t>
      </w:r>
      <w:r w:rsidRPr="00D258CD">
        <w:t>hospedeiro</w:t>
      </w:r>
    </w:p>
    <w:p w:rsidRPr="00D258CD" w:rsidR="00087FC0" w:rsidP="00087FC0" w:rsidRDefault="00087FC0" w14:paraId="662525BF" w14:textId="2A6D632C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 xml:space="preserve">O </w:t>
      </w:r>
      <w:r w:rsidR="00015F2B">
        <w:rPr>
          <w:color w:val="EE0000"/>
          <w:sz w:val="22"/>
        </w:rPr>
        <w:t>contrário</w:t>
      </w:r>
      <w:r w:rsidRPr="00D258CD">
        <w:rPr>
          <w:color w:val="EE0000"/>
          <w:sz w:val="22"/>
        </w:rPr>
        <w:t xml:space="preserve"> é verdadeiro.</w:t>
      </w:r>
    </w:p>
    <w:p w:rsidRPr="00D258CD" w:rsidR="00087FC0" w:rsidP="00087FC0" w:rsidRDefault="00087FC0" w14:paraId="3A25EB5A" w14:textId="77777777">
      <w:pPr>
        <w:ind w:left="360"/>
      </w:pPr>
      <w:r w:rsidRPr="00D258CD">
        <w:rPr>
          <w:b/>
        </w:rPr>
        <w:t xml:space="preserve">25.10 Qual dessas doenças pode ser tratada por transplante autólogo de células-tronco usando células-tronco colhidas nas quais o defeito genético subjacente foi corrigido </w:t>
      </w:r>
      <w:r w:rsidRPr="00015F2B">
        <w:rPr>
          <w:b/>
          <w:i/>
          <w:iCs/>
        </w:rPr>
        <w:t>in vitro</w:t>
      </w:r>
      <w:r w:rsidRPr="00D258CD">
        <w:rPr>
          <w:b/>
        </w:rPr>
        <w:t>?</w:t>
      </w:r>
    </w:p>
    <w:p w:rsidRPr="00D258CD" w:rsidR="00087FC0" w:rsidP="00087FC0" w:rsidRDefault="00087FC0" w14:paraId="5BC2A2CD" w14:textId="40B79273">
      <w:pPr>
        <w:ind w:left="360"/>
      </w:pPr>
      <w:r w:rsidRPr="00D258CD">
        <w:t>A Hemofilia</w:t>
      </w:r>
    </w:p>
    <w:p w:rsidRPr="00D258CD" w:rsidR="00087FC0" w:rsidP="00087FC0" w:rsidRDefault="00087FC0" w14:paraId="54EC7AC6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A terapia gênica para hemofilia é possível, mas geralmente é feita por meio da infusão de vetores de vírus contendo o gene intacto que codifica o fator de coagulação deficiente, sem a necessidade de colher células-tronco. O vetor carrega o gene para o fígado.</w:t>
      </w:r>
    </w:p>
    <w:p w:rsidRPr="00D258CD" w:rsidR="00087FC0" w:rsidP="00087FC0" w:rsidRDefault="00087FC0" w14:paraId="0F2ED1C7" w14:textId="2F4FD6C4">
      <w:pPr>
        <w:ind w:left="360"/>
      </w:pPr>
      <w:r w:rsidRPr="00D258CD">
        <w:t xml:space="preserve">B Anemia de </w:t>
      </w:r>
      <w:proofErr w:type="spellStart"/>
      <w:r w:rsidRPr="00D258CD">
        <w:t>Fanconi</w:t>
      </w:r>
      <w:proofErr w:type="spellEnd"/>
    </w:p>
    <w:p w:rsidRPr="00D258CD" w:rsidR="00087FC0" w:rsidP="00087FC0" w:rsidRDefault="00087FC0" w14:paraId="12327C96" w14:textId="10835CD6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 xml:space="preserve">A terapia </w:t>
      </w:r>
      <w:r w:rsidR="00015F2B">
        <w:rPr>
          <w:color w:val="EE0000"/>
          <w:sz w:val="22"/>
        </w:rPr>
        <w:t>gênica</w:t>
      </w:r>
      <w:r w:rsidRPr="00D258CD">
        <w:rPr>
          <w:color w:val="EE0000"/>
          <w:sz w:val="22"/>
        </w:rPr>
        <w:t xml:space="preserve"> para a anemia de </w:t>
      </w:r>
      <w:proofErr w:type="spellStart"/>
      <w:r w:rsidRPr="00D258CD">
        <w:rPr>
          <w:color w:val="EE0000"/>
          <w:sz w:val="22"/>
        </w:rPr>
        <w:t>Fanconi</w:t>
      </w:r>
      <w:proofErr w:type="spellEnd"/>
      <w:r w:rsidRPr="00D258CD">
        <w:rPr>
          <w:color w:val="EE0000"/>
          <w:sz w:val="22"/>
        </w:rPr>
        <w:t xml:space="preserve"> ainda não foi concluída.</w:t>
      </w:r>
    </w:p>
    <w:p w:rsidRPr="00D258CD" w:rsidR="00087FC0" w:rsidP="00087FC0" w:rsidRDefault="00015F2B" w14:paraId="35E2504C" w14:textId="1A8D44C7">
      <w:pPr>
        <w:ind w:left="360"/>
      </w:pPr>
      <w:r>
        <w:t>C</w:t>
      </w:r>
      <w:r w:rsidRPr="00D258CD" w:rsidR="00087FC0">
        <w:t> </w:t>
      </w:r>
      <w:r w:rsidRPr="00D258CD" w:rsidR="00087FC0">
        <w:rPr>
          <w:highlight w:val="green"/>
        </w:rPr>
        <w:t>Talassemia maior</w:t>
      </w:r>
    </w:p>
    <w:p w:rsidRPr="00D258CD" w:rsidR="00087FC0" w:rsidP="00087FC0" w:rsidRDefault="00015F2B" w14:paraId="462F4A3A" w14:textId="38944143">
      <w:pPr>
        <w:ind w:left="360"/>
      </w:pPr>
      <w:r>
        <w:lastRenderedPageBreak/>
        <w:t>D</w:t>
      </w:r>
      <w:r w:rsidRPr="00D258CD" w:rsidR="00087FC0">
        <w:t> Leucemia mieloide aguda</w:t>
      </w:r>
    </w:p>
    <w:p w:rsidRPr="00D258CD" w:rsidR="00087FC0" w:rsidP="00087FC0" w:rsidRDefault="00087FC0" w14:paraId="1F3F6C03" w14:textId="77777777">
      <w:pPr>
        <w:ind w:left="360"/>
        <w:rPr>
          <w:color w:val="EE0000"/>
          <w:sz w:val="22"/>
          <w:szCs w:val="22"/>
        </w:rPr>
      </w:pPr>
      <w:r w:rsidRPr="00D258CD">
        <w:rPr>
          <w:color w:val="EE0000"/>
          <w:sz w:val="22"/>
        </w:rPr>
        <w:t>A terapia gênica ainda não é possível para a LMA.</w:t>
      </w:r>
    </w:p>
    <w:p w:rsidRPr="00D258CD" w:rsidR="00087FC0" w:rsidP="00087FC0" w:rsidRDefault="00087FC0" w14:paraId="5F1F79DE" w14:textId="63C289C7">
      <w:pPr>
        <w:ind w:left="360"/>
      </w:pPr>
      <w:r w:rsidRPr="31B307BA" w:rsidR="31B307BA">
        <w:rPr>
          <w:b w:val="1"/>
          <w:bCs w:val="1"/>
        </w:rPr>
        <w:t>25.11 Qual das afirmações a seguir é verdadeira sobre a ciclofosfamida pós-transplante?</w:t>
      </w:r>
    </w:p>
    <w:p w:rsidRPr="00D258CD" w:rsidR="00087FC0" w:rsidP="00087FC0" w:rsidRDefault="00015F2B" w14:paraId="55931E20" w14:textId="08C8151B">
      <w:pPr>
        <w:ind w:left="360"/>
      </w:pPr>
      <w:r>
        <w:t>A</w:t>
      </w:r>
      <w:r w:rsidRPr="00D258CD" w:rsidR="00087FC0">
        <w:t xml:space="preserve"> É indicad</w:t>
      </w:r>
      <w:r>
        <w:t>a</w:t>
      </w:r>
      <w:r w:rsidRPr="00D258CD" w:rsidR="00087FC0">
        <w:t xml:space="preserve"> apenas para transplantes de células-tronco</w:t>
      </w:r>
      <w:r>
        <w:t xml:space="preserve"> </w:t>
      </w:r>
      <w:r w:rsidRPr="00D258CD" w:rsidR="00087FC0">
        <w:t>haploidênticas.</w:t>
      </w:r>
    </w:p>
    <w:p w:rsidRPr="00D258CD" w:rsidR="00087FC0" w:rsidP="00087FC0" w:rsidRDefault="00087FC0" w14:paraId="07F7A1B9" w14:textId="278B837F">
      <w:pPr>
        <w:ind w:left="360"/>
      </w:pPr>
      <w:r w:rsidRPr="00D258CD">
        <w:rPr>
          <w:highlight w:val="green"/>
        </w:rPr>
        <w:t>B É usad</w:t>
      </w:r>
      <w:r w:rsidR="00015F2B">
        <w:rPr>
          <w:highlight w:val="green"/>
        </w:rPr>
        <w:t>a</w:t>
      </w:r>
      <w:r w:rsidRPr="00D258CD">
        <w:rPr>
          <w:highlight w:val="green"/>
        </w:rPr>
        <w:t xml:space="preserve"> para prevenir doenças agudas do enxerto</w:t>
      </w:r>
      <w:r w:rsidR="00015F2B">
        <w:rPr>
          <w:highlight w:val="green"/>
        </w:rPr>
        <w:t xml:space="preserve"> </w:t>
      </w:r>
      <w:r w:rsidRPr="00015F2B">
        <w:rPr>
          <w:i/>
          <w:iCs/>
          <w:highlight w:val="green"/>
        </w:rPr>
        <w:t>versus</w:t>
      </w:r>
      <w:r w:rsidR="00015F2B">
        <w:rPr>
          <w:highlight w:val="green"/>
        </w:rPr>
        <w:t xml:space="preserve"> </w:t>
      </w:r>
      <w:r w:rsidRPr="00D258CD">
        <w:rPr>
          <w:highlight w:val="green"/>
        </w:rPr>
        <w:t>hospedeiro</w:t>
      </w:r>
    </w:p>
    <w:p w:rsidRPr="00D258CD" w:rsidR="00087FC0" w:rsidP="00087FC0" w:rsidRDefault="00087FC0" w14:paraId="4203DF7E" w14:textId="2E407096">
      <w:pPr>
        <w:ind w:left="360"/>
      </w:pPr>
      <w:r w:rsidRPr="00D258CD">
        <w:t>C Aumenta o risco de recidiva da doença</w:t>
      </w:r>
    </w:p>
    <w:p w:rsidRPr="00D258CD" w:rsidR="00087FC0" w:rsidP="00087FC0" w:rsidRDefault="00087FC0" w14:paraId="29A1C1D6" w14:textId="79884F57">
      <w:pPr>
        <w:ind w:left="360"/>
      </w:pPr>
      <w:r w:rsidRPr="00D258CD">
        <w:t>D Está associad</w:t>
      </w:r>
      <w:r w:rsidR="00015F2B">
        <w:t>a</w:t>
      </w:r>
      <w:r w:rsidRPr="00D258CD">
        <w:t xml:space="preserve"> à falha do enxerto</w:t>
      </w:r>
    </w:p>
    <w:p w:rsidRPr="00D258CD" w:rsidR="0092023F" w:rsidP="00087FC0" w:rsidRDefault="0092023F" w14:paraId="13B7376C" w14:textId="77777777"/>
    <w:sectPr w:rsidRPr="00D258CD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7BD"/>
    <w:multiLevelType w:val="hybridMultilevel"/>
    <w:tmpl w:val="95961C2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A767B7"/>
    <w:multiLevelType w:val="multilevel"/>
    <w:tmpl w:val="3C4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AEB40A0"/>
    <w:multiLevelType w:val="multilevel"/>
    <w:tmpl w:val="032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093CAA"/>
    <w:multiLevelType w:val="multilevel"/>
    <w:tmpl w:val="F3A0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F0720DA"/>
    <w:multiLevelType w:val="multilevel"/>
    <w:tmpl w:val="165E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A623AA"/>
    <w:multiLevelType w:val="multilevel"/>
    <w:tmpl w:val="BC66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EC35333"/>
    <w:multiLevelType w:val="multilevel"/>
    <w:tmpl w:val="071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16134A8"/>
    <w:multiLevelType w:val="multilevel"/>
    <w:tmpl w:val="A29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7FD5356"/>
    <w:multiLevelType w:val="multilevel"/>
    <w:tmpl w:val="AD8A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8F22DFC"/>
    <w:multiLevelType w:val="multilevel"/>
    <w:tmpl w:val="CB46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B566C0B"/>
    <w:multiLevelType w:val="multilevel"/>
    <w:tmpl w:val="6C06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E6776ED"/>
    <w:multiLevelType w:val="multilevel"/>
    <w:tmpl w:val="7CD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9957779">
    <w:abstractNumId w:val="10"/>
  </w:num>
  <w:num w:numId="2" w16cid:durableId="695010735">
    <w:abstractNumId w:val="8"/>
  </w:num>
  <w:num w:numId="3" w16cid:durableId="1028677769">
    <w:abstractNumId w:val="5"/>
  </w:num>
  <w:num w:numId="4" w16cid:durableId="184751016">
    <w:abstractNumId w:val="2"/>
  </w:num>
  <w:num w:numId="5" w16cid:durableId="1255087153">
    <w:abstractNumId w:val="7"/>
  </w:num>
  <w:num w:numId="6" w16cid:durableId="578750648">
    <w:abstractNumId w:val="4"/>
  </w:num>
  <w:num w:numId="7" w16cid:durableId="1399401380">
    <w:abstractNumId w:val="1"/>
  </w:num>
  <w:num w:numId="8" w16cid:durableId="1064720421">
    <w:abstractNumId w:val="9"/>
  </w:num>
  <w:num w:numId="9" w16cid:durableId="503983874">
    <w:abstractNumId w:val="6"/>
  </w:num>
  <w:num w:numId="10" w16cid:durableId="452794819">
    <w:abstractNumId w:val="3"/>
  </w:num>
  <w:num w:numId="11" w16cid:durableId="1494829552">
    <w:abstractNumId w:val="11"/>
  </w:num>
  <w:num w:numId="12" w16cid:durableId="7821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42"/>
    <w:rsid w:val="00015F2B"/>
    <w:rsid w:val="00036278"/>
    <w:rsid w:val="00087FC0"/>
    <w:rsid w:val="0013282F"/>
    <w:rsid w:val="002909A3"/>
    <w:rsid w:val="002E24D8"/>
    <w:rsid w:val="002E38E5"/>
    <w:rsid w:val="00403A04"/>
    <w:rsid w:val="00502766"/>
    <w:rsid w:val="00513214"/>
    <w:rsid w:val="006209EB"/>
    <w:rsid w:val="006F1AB8"/>
    <w:rsid w:val="00711742"/>
    <w:rsid w:val="0092023F"/>
    <w:rsid w:val="009426BD"/>
    <w:rsid w:val="00B54A86"/>
    <w:rsid w:val="00BA2FA2"/>
    <w:rsid w:val="00CA25F2"/>
    <w:rsid w:val="00CB3D0D"/>
    <w:rsid w:val="00D258CD"/>
    <w:rsid w:val="00D50842"/>
    <w:rsid w:val="00E93B14"/>
    <w:rsid w:val="00F11CDD"/>
    <w:rsid w:val="31B3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28BD3"/>
  <w15:chartTrackingRefBased/>
  <w15:docId w15:val="{175B5B1B-8CC6-4A65-94D0-0CDF0F0D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08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08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5084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5084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5084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50842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50842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50842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50842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50842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50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084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5084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5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0842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508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08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08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084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508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0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19</revision>
  <dcterms:created xsi:type="dcterms:W3CDTF">2025-09-18T18:30:00.0000000Z</dcterms:created>
  <dcterms:modified xsi:type="dcterms:W3CDTF">2026-05-03T21:44:45.1211205Z</dcterms:modified>
</coreProperties>
</file>