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390D3" w14:textId="77777777" w:rsidR="007448A7" w:rsidRPr="007448A7" w:rsidRDefault="007448A7" w:rsidP="007448A7">
      <w:pPr>
        <w:shd w:val="clear" w:color="auto" w:fill="FFFFFF"/>
        <w:spacing w:before="100" w:beforeAutospacing="1" w:after="60" w:line="240" w:lineRule="auto"/>
        <w:outlineLvl w:val="0"/>
        <w:rPr>
          <w:rFonts w:ascii="Arial" w:eastAsia="Times New Roman" w:hAnsi="Arial" w:cs="Arial"/>
          <w:b/>
          <w:bCs/>
          <w:color w:val="1F1F1F"/>
          <w:kern w:val="36"/>
          <w:sz w:val="48"/>
          <w:szCs w:val="48"/>
          <w14:ligatures w14:val="none"/>
        </w:rPr>
      </w:pPr>
      <w:r w:rsidRPr="007448A7">
        <w:rPr>
          <w:rFonts w:ascii="Arial" w:eastAsia="Times New Roman" w:hAnsi="Arial" w:cs="Arial"/>
          <w:b/>
          <w:bCs/>
          <w:color w:val="1F1F1F"/>
          <w:kern w:val="36"/>
          <w:sz w:val="48"/>
          <w:szCs w:val="48"/>
          <w14:ligatures w14:val="none"/>
        </w:rPr>
        <w:t>XOM research brief</w:t>
      </w:r>
    </w:p>
    <w:p w14:paraId="5D77C4D2" w14:textId="77777777" w:rsidR="007448A7" w:rsidRPr="007448A7" w:rsidRDefault="007448A7" w:rsidP="007448A7">
      <w:pPr>
        <w:shd w:val="clear" w:color="auto" w:fill="FFFFFF"/>
        <w:spacing w:before="90" w:after="90" w:line="240" w:lineRule="auto"/>
        <w:rPr>
          <w:rFonts w:ascii="Arial" w:eastAsia="Times New Roman" w:hAnsi="Arial" w:cs="Arial"/>
          <w:color w:val="1F1F1F"/>
          <w:kern w:val="0"/>
          <w:sz w:val="21"/>
          <w:szCs w:val="21"/>
          <w14:ligatures w14:val="none"/>
        </w:rPr>
      </w:pPr>
      <w:r w:rsidRPr="007448A7">
        <w:rPr>
          <w:rFonts w:ascii="Arial" w:eastAsia="Times New Roman" w:hAnsi="Arial" w:cs="Arial"/>
          <w:b/>
          <w:bCs/>
          <w:color w:val="1F1F1F"/>
          <w:kern w:val="0"/>
          <w:sz w:val="21"/>
          <w:szCs w:val="21"/>
          <w14:ligatures w14:val="none"/>
        </w:rPr>
        <w:t>Thesis:</w:t>
      </w:r>
      <w:r w:rsidRPr="007448A7">
        <w:rPr>
          <w:rFonts w:ascii="Arial" w:eastAsia="Times New Roman" w:hAnsi="Arial" w:cs="Arial"/>
          <w:color w:val="1F1F1F"/>
          <w:kern w:val="0"/>
          <w:sz w:val="21"/>
          <w:szCs w:val="21"/>
          <w14:ligatures w14:val="none"/>
        </w:rPr>
        <w:t xml:space="preserve"> XOM's 57.79% 1-year return and uptrend above 50/200-day SMAs show strong momentum, but at ~$177 the stock sits above the $173.64 analyst mean target while FY2025 revenue, net income, and FCF all declined YoY. Low beta (0.385) and a conservative FY2024 balance sheet (D/E 0.158) support defensive </w:t>
      </w:r>
      <w:proofErr w:type="gramStart"/>
      <w:r w:rsidRPr="007448A7">
        <w:rPr>
          <w:rFonts w:ascii="Arial" w:eastAsia="Times New Roman" w:hAnsi="Arial" w:cs="Arial"/>
          <w:color w:val="1F1F1F"/>
          <w:kern w:val="0"/>
          <w:sz w:val="21"/>
          <w:szCs w:val="21"/>
          <w14:ligatures w14:val="none"/>
        </w:rPr>
        <w:t>positioning, but</w:t>
      </w:r>
      <w:proofErr w:type="gramEnd"/>
      <w:r w:rsidRPr="007448A7">
        <w:rPr>
          <w:rFonts w:ascii="Arial" w:eastAsia="Times New Roman" w:hAnsi="Arial" w:cs="Arial"/>
          <w:color w:val="1F1F1F"/>
          <w:kern w:val="0"/>
          <w:sz w:val="21"/>
          <w:szCs w:val="21"/>
          <w14:ligatures w14:val="none"/>
        </w:rPr>
        <w:t xml:space="preserve"> rising 10-year yields (5.24%) and a shrinking cash balance argue for disciplined entry. Catalysts (Venezuela, LNG, carbon capture) are constructive but speculative.</w:t>
      </w:r>
    </w:p>
    <w:p w14:paraId="56C681C8" w14:textId="77777777" w:rsidR="007448A7" w:rsidRPr="007448A7" w:rsidRDefault="007448A7" w:rsidP="007448A7">
      <w:pPr>
        <w:shd w:val="clear" w:color="auto" w:fill="FFFFFF"/>
        <w:spacing w:before="100" w:beforeAutospacing="1" w:after="60" w:line="240" w:lineRule="auto"/>
        <w:outlineLvl w:val="1"/>
        <w:rPr>
          <w:rFonts w:ascii="Arial" w:eastAsia="Times New Roman" w:hAnsi="Arial" w:cs="Arial"/>
          <w:b/>
          <w:bCs/>
          <w:color w:val="1F1F1F"/>
          <w:kern w:val="0"/>
          <w:sz w:val="36"/>
          <w:szCs w:val="36"/>
          <w14:ligatures w14:val="none"/>
        </w:rPr>
      </w:pPr>
      <w:r w:rsidRPr="007448A7">
        <w:rPr>
          <w:rFonts w:ascii="Arial" w:eastAsia="Times New Roman" w:hAnsi="Arial" w:cs="Arial"/>
          <w:b/>
          <w:bCs/>
          <w:color w:val="1F1F1F"/>
          <w:kern w:val="0"/>
          <w:sz w:val="36"/>
          <w:szCs w:val="36"/>
          <w14:ligatures w14:val="none"/>
        </w:rPr>
        <w:t>Bull case</w:t>
      </w:r>
    </w:p>
    <w:p w14:paraId="186DB92A" w14:textId="77777777" w:rsidR="007448A7" w:rsidRPr="007448A7" w:rsidRDefault="007448A7" w:rsidP="007448A7">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Strong technical uptrend: +4.59% over 1-month and +57.79% over 1-year, well above 50-day ($162.75) and 200-day ($151.16) SMAs</w:t>
      </w:r>
    </w:p>
    <w:p w14:paraId="44653C20" w14:textId="77777777" w:rsidR="007448A7" w:rsidRPr="007448A7" w:rsidRDefault="007448A7" w:rsidP="007448A7">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Low beta (0.385) versus SPY offers portfolio diversification and reduced market-correlated volatility</w:t>
      </w:r>
    </w:p>
    <w:p w14:paraId="7AC0767B" w14:textId="77777777" w:rsidR="007448A7" w:rsidRPr="007448A7" w:rsidRDefault="007448A7" w:rsidP="007448A7">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Conservative FY2024 balance sheet (debt-to-equity 0.158, total debt $41.71B) provides financial flexibility for capex and dividends (2.37% yield)</w:t>
      </w:r>
    </w:p>
    <w:p w14:paraId="448E4B3D" w14:textId="77777777" w:rsidR="007448A7" w:rsidRPr="007448A7" w:rsidRDefault="007448A7" w:rsidP="007448A7">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Multiple growth catalysts: potential Venezuela re-entry, raised 2030 LNG target to 50 million tons annually (2x current volume), and $5B Texas carbon-capture project approval</w:t>
      </w:r>
    </w:p>
    <w:p w14:paraId="21E9350F" w14:textId="77777777" w:rsidR="007448A7" w:rsidRPr="007448A7" w:rsidRDefault="007448A7" w:rsidP="007448A7">
      <w:pPr>
        <w:numPr>
          <w:ilvl w:val="0"/>
          <w:numId w:val="1"/>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Forward P/E (15.26) is below trailing P/E (22.81), consistent with analyst expectations for higher near-term earnings, though this alone doesn't confirm a sustained recovery</w:t>
      </w:r>
    </w:p>
    <w:p w14:paraId="0AA54862" w14:textId="77777777" w:rsidR="007448A7" w:rsidRPr="007448A7" w:rsidRDefault="007448A7" w:rsidP="007448A7">
      <w:pPr>
        <w:shd w:val="clear" w:color="auto" w:fill="FFFFFF"/>
        <w:spacing w:before="100" w:beforeAutospacing="1" w:after="60" w:line="240" w:lineRule="auto"/>
        <w:outlineLvl w:val="1"/>
        <w:rPr>
          <w:rFonts w:ascii="Arial" w:eastAsia="Times New Roman" w:hAnsi="Arial" w:cs="Arial"/>
          <w:b/>
          <w:bCs/>
          <w:color w:val="1F1F1F"/>
          <w:kern w:val="0"/>
          <w:sz w:val="36"/>
          <w:szCs w:val="36"/>
          <w14:ligatures w14:val="none"/>
        </w:rPr>
      </w:pPr>
      <w:r w:rsidRPr="007448A7">
        <w:rPr>
          <w:rFonts w:ascii="Arial" w:eastAsia="Times New Roman" w:hAnsi="Arial" w:cs="Arial"/>
          <w:b/>
          <w:bCs/>
          <w:color w:val="1F1F1F"/>
          <w:kern w:val="0"/>
          <w:sz w:val="36"/>
          <w:szCs w:val="36"/>
          <w14:ligatures w14:val="none"/>
        </w:rPr>
        <w:t>Bear case</w:t>
      </w:r>
    </w:p>
    <w:p w14:paraId="01D69978" w14:textId="77777777" w:rsidR="007448A7" w:rsidRPr="007448A7" w:rsidRDefault="007448A7" w:rsidP="007448A7">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FY2025 financials weakened YoY: revenue fell to $323.9B from $339.2B, net income to $28.84B from $33.68B, and free cash flow to $23.61B from $30.72B</w:t>
      </w:r>
    </w:p>
    <w:p w14:paraId="20CA371C" w14:textId="77777777" w:rsidR="007448A7" w:rsidRPr="007448A7" w:rsidRDefault="007448A7" w:rsidP="007448A7">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Cash balance dropped sharply from $23.03B to $10.68B while capex rose to $28.36B (cash capex $29.0B), raising liquidity questions if commodity prices soften</w:t>
      </w:r>
    </w:p>
    <w:p w14:paraId="08B0EE97" w14:textId="77777777" w:rsidR="007448A7" w:rsidRPr="007448A7" w:rsidRDefault="007448A7" w:rsidP="007448A7">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Stock price ($177.10) already exceeds the analyst mean target ($173.64), suggesting limited near-term upside per consensus</w:t>
      </w:r>
    </w:p>
    <w:p w14:paraId="06BDD0EE" w14:textId="77777777" w:rsidR="007448A7" w:rsidRPr="007448A7" w:rsidRDefault="007448A7" w:rsidP="007448A7">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Rising 10-year Treasury yield to 5.24% increases discount rates and cost of capital, a headwind for capital-intensive energy valuations</w:t>
      </w:r>
    </w:p>
    <w:p w14:paraId="3B04E52C" w14:textId="77777777" w:rsidR="007448A7" w:rsidRPr="007448A7" w:rsidRDefault="007448A7" w:rsidP="007448A7">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Operational and legal overhangs: Joliet refinery shutdown disrupting Midwest diesel supply, a separate power-outage investigation at the same refinery, unresolved Supreme Court climate litigation exposure, and a board-seat dispute creating governance friction</w:t>
      </w:r>
    </w:p>
    <w:p w14:paraId="45D890FE" w14:textId="77777777" w:rsidR="007448A7" w:rsidRPr="007448A7" w:rsidRDefault="007448A7" w:rsidP="007448A7">
      <w:pPr>
        <w:shd w:val="clear" w:color="auto" w:fill="FFFFFF"/>
        <w:spacing w:before="100" w:beforeAutospacing="1" w:after="60" w:line="240" w:lineRule="auto"/>
        <w:outlineLvl w:val="1"/>
        <w:rPr>
          <w:rFonts w:ascii="Arial" w:eastAsia="Times New Roman" w:hAnsi="Arial" w:cs="Arial"/>
          <w:b/>
          <w:bCs/>
          <w:color w:val="1F1F1F"/>
          <w:kern w:val="0"/>
          <w:sz w:val="36"/>
          <w:szCs w:val="36"/>
          <w14:ligatures w14:val="none"/>
        </w:rPr>
      </w:pPr>
      <w:r w:rsidRPr="007448A7">
        <w:rPr>
          <w:rFonts w:ascii="Arial" w:eastAsia="Times New Roman" w:hAnsi="Arial" w:cs="Arial"/>
          <w:b/>
          <w:bCs/>
          <w:color w:val="1F1F1F"/>
          <w:kern w:val="0"/>
          <w:sz w:val="36"/>
          <w:szCs w:val="36"/>
          <w14:ligatures w14:val="none"/>
        </w:rPr>
        <w:t>Fundamentals</w:t>
      </w:r>
    </w:p>
    <w:p w14:paraId="203F291B" w14:textId="77777777" w:rsidR="007448A7" w:rsidRPr="007448A7" w:rsidRDefault="007448A7" w:rsidP="007448A7">
      <w:pPr>
        <w:shd w:val="clear" w:color="auto" w:fill="FFFFFF"/>
        <w:spacing w:before="90" w:after="90"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XOM trades at a trailing P/E of 22.81 (forward 15.26), P/B of 2.81, with TTM net margin of 9.07% and ROE of 12.58%. FY2025 revenue declined to $323.9B from $339.2B, net income to $28.84B ($6.70 diluted EPS) from $33.68B ($7.84 EPS), and free cash flow to $23.61B from $30.72B, even as capex rose to $28.36B driven by Permian/Pioneer integration (upstream capex $24.7B, up $4.4B YoY). FY2024 debt-to-equity stood at 0.158 with total debt of $41.71B against $263.7B equity (FY2025 equity: $259.4B). Cash fell sharply from $23.03B (FY2024) to $10.68B (FY2025). 2026 planned capex is $27B-$29B with $8.5B in firm commitments.</w:t>
      </w:r>
    </w:p>
    <w:p w14:paraId="3218B991" w14:textId="77777777" w:rsidR="007448A7" w:rsidRPr="007448A7" w:rsidRDefault="007448A7" w:rsidP="007448A7">
      <w:pPr>
        <w:shd w:val="clear" w:color="auto" w:fill="FFFFFF"/>
        <w:spacing w:before="100" w:beforeAutospacing="1" w:after="60" w:line="240" w:lineRule="auto"/>
        <w:outlineLvl w:val="1"/>
        <w:rPr>
          <w:rFonts w:ascii="Arial" w:eastAsia="Times New Roman" w:hAnsi="Arial" w:cs="Arial"/>
          <w:b/>
          <w:bCs/>
          <w:color w:val="1F1F1F"/>
          <w:kern w:val="0"/>
          <w:sz w:val="36"/>
          <w:szCs w:val="36"/>
          <w14:ligatures w14:val="none"/>
        </w:rPr>
      </w:pPr>
      <w:r w:rsidRPr="007448A7">
        <w:rPr>
          <w:rFonts w:ascii="Arial" w:eastAsia="Times New Roman" w:hAnsi="Arial" w:cs="Arial"/>
          <w:b/>
          <w:bCs/>
          <w:color w:val="1F1F1F"/>
          <w:kern w:val="0"/>
          <w:sz w:val="36"/>
          <w:szCs w:val="36"/>
          <w14:ligatures w14:val="none"/>
        </w:rPr>
        <w:t>News and catalysts</w:t>
      </w:r>
    </w:p>
    <w:p w14:paraId="7993B176" w14:textId="77777777" w:rsidR="007448A7" w:rsidRPr="007448A7" w:rsidRDefault="007448A7" w:rsidP="007448A7">
      <w:pPr>
        <w:shd w:val="clear" w:color="auto" w:fill="FFFFFF"/>
        <w:spacing w:before="90" w:after="90"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 xml:space="preserve">Sentiment is net positive, driven by Exxon's prospective return to Venezuela after nearly two decades, a raised 2030 LNG sales target of 50 million tons (doubling current volume), and Texas </w:t>
      </w:r>
      <w:r w:rsidRPr="007448A7">
        <w:rPr>
          <w:rFonts w:ascii="Arial" w:eastAsia="Times New Roman" w:hAnsi="Arial" w:cs="Arial"/>
          <w:color w:val="1F1F1F"/>
          <w:kern w:val="0"/>
          <w:sz w:val="21"/>
          <w:szCs w:val="21"/>
          <w14:ligatures w14:val="none"/>
        </w:rPr>
        <w:lastRenderedPageBreak/>
        <w:t>approval for a $5B carbon-capture project. Exxon and Suncor are also seeking to block climate lawsuits at the Supreme Court, which could reduce future litigation exposure. Offsetting these, the company shut down its Joliet refinery (disrupting Midwest diesel supply) and separately faces a power-outage investigation at the same facility, unresolved Supreme Court climate-law exposure, and a governance dispute involving a shale magnate's board-seat challenge. The CFO also flagged hidden risks tied to a potential oil supply shock.</w:t>
      </w:r>
    </w:p>
    <w:p w14:paraId="320BE824" w14:textId="77777777" w:rsidR="007448A7" w:rsidRPr="007448A7" w:rsidRDefault="007448A7" w:rsidP="007448A7">
      <w:pPr>
        <w:shd w:val="clear" w:color="auto" w:fill="FFFFFF"/>
        <w:spacing w:before="100" w:beforeAutospacing="1" w:after="60" w:line="240" w:lineRule="auto"/>
        <w:outlineLvl w:val="1"/>
        <w:rPr>
          <w:rFonts w:ascii="Arial" w:eastAsia="Times New Roman" w:hAnsi="Arial" w:cs="Arial"/>
          <w:b/>
          <w:bCs/>
          <w:color w:val="1F1F1F"/>
          <w:kern w:val="0"/>
          <w:sz w:val="36"/>
          <w:szCs w:val="36"/>
          <w14:ligatures w14:val="none"/>
        </w:rPr>
      </w:pPr>
      <w:r w:rsidRPr="007448A7">
        <w:rPr>
          <w:rFonts w:ascii="Arial" w:eastAsia="Times New Roman" w:hAnsi="Arial" w:cs="Arial"/>
          <w:b/>
          <w:bCs/>
          <w:color w:val="1F1F1F"/>
          <w:kern w:val="0"/>
          <w:sz w:val="36"/>
          <w:szCs w:val="36"/>
          <w14:ligatures w14:val="none"/>
        </w:rPr>
        <w:t>Market and macro</w:t>
      </w:r>
    </w:p>
    <w:p w14:paraId="0DD572B1" w14:textId="77777777" w:rsidR="007448A7" w:rsidRPr="007448A7" w:rsidRDefault="007448A7" w:rsidP="007448A7">
      <w:pPr>
        <w:shd w:val="clear" w:color="auto" w:fill="FFFFFF"/>
        <w:spacing w:before="90" w:after="90"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XOM closed at $177.10, up 4.59% over one month and 57.79% over one year, trading well above its 50-day ($162.75) and 200-day ($151.16) SMAs in a confirmed uptrend. Annualized volatility is 25.9% with a low beta of 0.385 versus SPY. Macro conditions show CPI at 3.72% YoY (above Fed target), Fed funds rate easing to 3.75% from 4.22%, yet the 10-year Treasury yield rising sharply to 5.24% from 4.14% — a divergence that may reflect market concern over longer-term inflation or fiscal risk. GDP growth is 2.19% YoY and unemployment eased to 4.2% from 4.4%.</w:t>
      </w:r>
    </w:p>
    <w:p w14:paraId="509D99F6" w14:textId="77777777" w:rsidR="007448A7" w:rsidRPr="007448A7" w:rsidRDefault="007448A7" w:rsidP="007448A7">
      <w:pPr>
        <w:shd w:val="clear" w:color="auto" w:fill="FFFFFF"/>
        <w:spacing w:before="100" w:beforeAutospacing="1" w:after="60" w:line="240" w:lineRule="auto"/>
        <w:outlineLvl w:val="1"/>
        <w:rPr>
          <w:rFonts w:ascii="Arial" w:eastAsia="Times New Roman" w:hAnsi="Arial" w:cs="Arial"/>
          <w:b/>
          <w:bCs/>
          <w:color w:val="1F1F1F"/>
          <w:kern w:val="0"/>
          <w:sz w:val="36"/>
          <w:szCs w:val="36"/>
          <w14:ligatures w14:val="none"/>
        </w:rPr>
      </w:pPr>
      <w:r w:rsidRPr="007448A7">
        <w:rPr>
          <w:rFonts w:ascii="Arial" w:eastAsia="Times New Roman" w:hAnsi="Arial" w:cs="Arial"/>
          <w:b/>
          <w:bCs/>
          <w:color w:val="1F1F1F"/>
          <w:kern w:val="0"/>
          <w:sz w:val="36"/>
          <w:szCs w:val="36"/>
          <w14:ligatures w14:val="none"/>
        </w:rPr>
        <w:t>Conclusion</w:t>
      </w:r>
    </w:p>
    <w:p w14:paraId="49284BE8" w14:textId="77777777" w:rsidR="007448A7" w:rsidRPr="007448A7" w:rsidRDefault="007448A7" w:rsidP="007448A7">
      <w:pPr>
        <w:shd w:val="clear" w:color="auto" w:fill="FFFFFF"/>
        <w:spacing w:before="90" w:after="90" w:line="240" w:lineRule="auto"/>
        <w:rPr>
          <w:rFonts w:ascii="Arial" w:eastAsia="Times New Roman" w:hAnsi="Arial" w:cs="Arial"/>
          <w:color w:val="1F1F1F"/>
          <w:kern w:val="0"/>
          <w:sz w:val="21"/>
          <w:szCs w:val="21"/>
          <w14:ligatures w14:val="none"/>
        </w:rPr>
      </w:pPr>
      <w:r w:rsidRPr="007448A7">
        <w:rPr>
          <w:rFonts w:ascii="Arial" w:eastAsia="Times New Roman" w:hAnsi="Arial" w:cs="Arial"/>
          <w:color w:val="1F1F1F"/>
          <w:kern w:val="0"/>
          <w:sz w:val="21"/>
          <w:szCs w:val="21"/>
          <w14:ligatures w14:val="none"/>
        </w:rPr>
        <w:t>XOM shows strong momentum and a defensive profile but trades above consensus fair value while FY2025 fundamentals softened. Entry view: favor existing holders or accumulation on pullbacks toward or below the $173.64 analyst target rather than chasing strength here. Watch: 10-year yield trajectory (cost of capital), cash balance trend versus capex, commodity price direction, and resolution of Supreme Court climate litigation and the board-seat dispute. Catalysts (Venezuela, LNG expansion, carbon capture) offer upside optionality but remain unconfirmed. Analysis only; not investment advice.</w:t>
      </w:r>
    </w:p>
    <w:p w14:paraId="29F4DF72" w14:textId="77777777" w:rsidR="007448A7" w:rsidRPr="007448A7" w:rsidRDefault="007448A7" w:rsidP="007448A7">
      <w:pPr>
        <w:shd w:val="clear" w:color="auto" w:fill="FFFFFF"/>
        <w:spacing w:before="90" w:after="90" w:line="240" w:lineRule="auto"/>
        <w:rPr>
          <w:rFonts w:ascii="Arial" w:eastAsia="Times New Roman" w:hAnsi="Arial" w:cs="Arial"/>
          <w:color w:val="1F1F1F"/>
          <w:kern w:val="0"/>
          <w:sz w:val="21"/>
          <w:szCs w:val="21"/>
          <w14:ligatures w14:val="none"/>
        </w:rPr>
      </w:pPr>
      <w:r w:rsidRPr="007448A7">
        <w:rPr>
          <w:rFonts w:ascii="Arial" w:eastAsia="Times New Roman" w:hAnsi="Arial" w:cs="Arial"/>
          <w:i/>
          <w:iCs/>
          <w:color w:val="1F1F1F"/>
          <w:kern w:val="0"/>
          <w:sz w:val="21"/>
          <w:szCs w:val="21"/>
          <w14:ligatures w14:val="none"/>
        </w:rPr>
        <w:t>Analysis only; not investment advice.</w:t>
      </w:r>
    </w:p>
    <w:p w14:paraId="77273354" w14:textId="77777777" w:rsidR="007448A7" w:rsidRDefault="007448A7"/>
    <w:sectPr w:rsidR="00744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22C21"/>
    <w:multiLevelType w:val="multilevel"/>
    <w:tmpl w:val="6C0A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173B99"/>
    <w:multiLevelType w:val="multilevel"/>
    <w:tmpl w:val="3D1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611484">
    <w:abstractNumId w:val="1"/>
  </w:num>
  <w:num w:numId="2" w16cid:durableId="1141389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8A7"/>
    <w:rsid w:val="007448A7"/>
    <w:rsid w:val="00753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A5683D"/>
  <w15:chartTrackingRefBased/>
  <w15:docId w15:val="{F3908D5F-2085-8446-B284-677CCB71F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4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8A7"/>
    <w:rPr>
      <w:rFonts w:eastAsiaTheme="majorEastAsia" w:cstheme="majorBidi"/>
      <w:color w:val="272727" w:themeColor="text1" w:themeTint="D8"/>
    </w:rPr>
  </w:style>
  <w:style w:type="paragraph" w:styleId="Title">
    <w:name w:val="Title"/>
    <w:basedOn w:val="Normal"/>
    <w:next w:val="Normal"/>
    <w:link w:val="TitleChar"/>
    <w:uiPriority w:val="10"/>
    <w:qFormat/>
    <w:rsid w:val="0074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8A7"/>
    <w:pPr>
      <w:spacing w:before="160"/>
      <w:jc w:val="center"/>
    </w:pPr>
    <w:rPr>
      <w:i/>
      <w:iCs/>
      <w:color w:val="404040" w:themeColor="text1" w:themeTint="BF"/>
    </w:rPr>
  </w:style>
  <w:style w:type="character" w:customStyle="1" w:styleId="QuoteChar">
    <w:name w:val="Quote Char"/>
    <w:basedOn w:val="DefaultParagraphFont"/>
    <w:link w:val="Quote"/>
    <w:uiPriority w:val="29"/>
    <w:rsid w:val="007448A7"/>
    <w:rPr>
      <w:i/>
      <w:iCs/>
      <w:color w:val="404040" w:themeColor="text1" w:themeTint="BF"/>
    </w:rPr>
  </w:style>
  <w:style w:type="paragraph" w:styleId="ListParagraph">
    <w:name w:val="List Paragraph"/>
    <w:basedOn w:val="Normal"/>
    <w:uiPriority w:val="34"/>
    <w:qFormat/>
    <w:rsid w:val="007448A7"/>
    <w:pPr>
      <w:ind w:left="720"/>
      <w:contextualSpacing/>
    </w:pPr>
  </w:style>
  <w:style w:type="character" w:styleId="IntenseEmphasis">
    <w:name w:val="Intense Emphasis"/>
    <w:basedOn w:val="DefaultParagraphFont"/>
    <w:uiPriority w:val="21"/>
    <w:qFormat/>
    <w:rsid w:val="007448A7"/>
    <w:rPr>
      <w:i/>
      <w:iCs/>
      <w:color w:val="0F4761" w:themeColor="accent1" w:themeShade="BF"/>
    </w:rPr>
  </w:style>
  <w:style w:type="paragraph" w:styleId="IntenseQuote">
    <w:name w:val="Intense Quote"/>
    <w:basedOn w:val="Normal"/>
    <w:next w:val="Normal"/>
    <w:link w:val="IntenseQuoteChar"/>
    <w:uiPriority w:val="30"/>
    <w:qFormat/>
    <w:rsid w:val="00744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8A7"/>
    <w:rPr>
      <w:i/>
      <w:iCs/>
      <w:color w:val="0F4761" w:themeColor="accent1" w:themeShade="BF"/>
    </w:rPr>
  </w:style>
  <w:style w:type="character" w:styleId="IntenseReference">
    <w:name w:val="Intense Reference"/>
    <w:basedOn w:val="DefaultParagraphFont"/>
    <w:uiPriority w:val="32"/>
    <w:qFormat/>
    <w:rsid w:val="007448A7"/>
    <w:rPr>
      <w:b/>
      <w:bCs/>
      <w:smallCaps/>
      <w:color w:val="0F4761" w:themeColor="accent1" w:themeShade="BF"/>
      <w:spacing w:val="5"/>
    </w:rPr>
  </w:style>
  <w:style w:type="paragraph" w:styleId="NormalWeb">
    <w:name w:val="Normal (Web)"/>
    <w:basedOn w:val="Normal"/>
    <w:uiPriority w:val="99"/>
    <w:semiHidden/>
    <w:unhideWhenUsed/>
    <w:rsid w:val="007448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48A7"/>
    <w:rPr>
      <w:b/>
      <w:bCs/>
    </w:rPr>
  </w:style>
  <w:style w:type="character" w:styleId="Emphasis">
    <w:name w:val="Emphasis"/>
    <w:basedOn w:val="DefaultParagraphFont"/>
    <w:uiPriority w:val="20"/>
    <w:qFormat/>
    <w:rsid w:val="007448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696</Words>
  <Characters>3973</Characters>
  <Application>Microsoft Office Word</Application>
  <DocSecurity>0</DocSecurity>
  <Lines>33</Lines>
  <Paragraphs>9</Paragraphs>
  <ScaleCrop>false</ScaleCrop>
  <Company/>
  <LinksUpToDate>false</LinksUpToDate>
  <CharactersWithSpaces>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Rowley</dc:creator>
  <cp:keywords/>
  <dc:description/>
  <cp:lastModifiedBy>Nicole Rowley</cp:lastModifiedBy>
  <cp:revision>1</cp:revision>
  <dcterms:created xsi:type="dcterms:W3CDTF">2026-10-14T19:25:00Z</dcterms:created>
  <dcterms:modified xsi:type="dcterms:W3CDTF">2026-10-14T19:25:00Z</dcterms:modified>
</cp:coreProperties>
</file>