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93607" w14:textId="1E5B0090" w:rsidR="000970A6" w:rsidRDefault="008E6CBC" w:rsidP="008E6CBC">
      <w:pPr>
        <w:jc w:val="both"/>
      </w:pPr>
      <w:r>
        <w:t>A fully screen-printed flexible sensor array based on piezoelectric polymer P(VDF-</w:t>
      </w:r>
      <w:proofErr w:type="spellStart"/>
      <w:r>
        <w:t>TrFE</w:t>
      </w:r>
      <w:proofErr w:type="spellEnd"/>
      <w:r>
        <w:t xml:space="preserve">) poly(vinylidene fluoride </w:t>
      </w:r>
      <w:proofErr w:type="spellStart"/>
      <w:r>
        <w:t>trifluor-oethylene</w:t>
      </w:r>
      <w:proofErr w:type="spellEnd"/>
      <w:r>
        <w:t>) sensors w</w:t>
      </w:r>
      <w:r w:rsidR="003457BF">
        <w:t>ere</w:t>
      </w:r>
      <w:r>
        <w:t xml:space="preserve"> fabricated by JOANNEUM RESEARCH </w:t>
      </w:r>
      <w:r>
        <w:fldChar w:fldCharType="begin" w:fldLock="1"/>
      </w:r>
      <w:r>
        <w:instrText>ADDIN CSL_CITATION {"citationItems":[{"id":"ITEM-1","itemData":{"DOI":"10.1002/adma.201100054","ISSN":"09359648","PMID":"21438036","abstract":"Macroelectronic components combining different classes of devices often suffer from the high complexity and costs of the manufacturing processes. The printing of an active-matrix sensor network using only five functional inks is demonstrated. The result is an all-printed monolithically integrated touchless input interface, including ferroelectric sensor pixels, organic transistors for impedance matching, and an electrochromic display. © 2011 WILEY-VCH Verlag GmbH &amp; Co. KGaA, Weinheim.","author":[{"dropping-particle":"","family":"Zirkl","given":"Martin","non-dropping-particle":"","parse-names":false,"suffix":""},{"dropping-particle":"","family":"Sawatdee","given":"Anurak","non-dropping-particle":"","parse-names":false,"suffix":""},{"dropping-particle":"","family":"Helbig","given":"Uta","non-dropping-particle":"","parse-names":false,"suffix":""},{"dropping-particle":"","family":"Krause","given":"Markus","non-dropping-particle":"","parse-names":false,"suffix":""},{"dropping-particle":"","family":"Scheipl","given":"Gregor","non-dropping-particle":"","parse-names":false,"suffix":""},{"dropping-particle":"","family":"Kraker","given":"Elke","non-dropping-particle":"","parse-names":false,"suffix":""},{"dropping-particle":"","family":"Ersman","given":"Peter Andersson","non-dropping-particle":"","parse-names":false,"suffix":""},{"dropping-particle":"","family":"Nilsson","given":"David","non-dropping-particle":"","parse-names":false,"suffix":""},{"dropping-particle":"","family":"Platt","given":"Duncan","non-dropping-particle":"","parse-names":false,"suffix":""},{"dropping-particle":"","family":"Bodö","given":"Peter","non-dropping-particle":"","parse-names":false,"suffix":""},{"dropping-particle":"","family":"Bauer","given":"Siegfried","non-dropping-particle":"","parse-names":false,"suffix":""},{"dropping-particle":"","family":"Domann","given":"Gerhard","non-dropping-particle":"","parse-names":false,"suffix":""},{"dropping-particle":"","family":"Stadlober","given":"Barbara","non-dropping-particle":"","parse-names":false,"suffix":""}],"container-title":"Advanced Materials","id":"ITEM-1","issue":"18","issued":{"date-parts":[["2011"]]},"page":"2069-2074","title":"An all-printed ferroelectric active matrix sensor network based on only five functional materials forming a touchless control interface","type":"article-journal","volume":"23"},"uris":["http://www.mendeley.com/documents/?uuid=9fa5065e-07a7-4456-9754-df521149fb83"]}],"mendeley":{"formattedCitation":"[1]","plainTextFormattedCitation":"[1]","previouslyFormattedCitation":"[1]"},"properties":{"noteIndex":0},"schema":"https://github.com/citation-style-language/schema/raw/master/csl-citation.json"}</w:instrText>
      </w:r>
      <w:r>
        <w:fldChar w:fldCharType="separate"/>
      </w:r>
      <w:r w:rsidRPr="008E6CBC">
        <w:rPr>
          <w:noProof/>
        </w:rPr>
        <w:t>[1]</w:t>
      </w:r>
      <w:r>
        <w:fldChar w:fldCharType="end"/>
      </w:r>
      <w:r>
        <w:t>. The fabrication process is composed of first screen printing a bottom electrode on a flexible PCB (100 µm thick), then a ferroelectric polymer P(VDF-</w:t>
      </w:r>
      <w:proofErr w:type="spellStart"/>
      <w:r>
        <w:t>TrFE</w:t>
      </w:r>
      <w:proofErr w:type="spellEnd"/>
      <w:r>
        <w:t>) layer (5.1 µm thick) is then printed onto the bottom electrodes, followed by the top electrodes (PEDOT: PSS). A UV-curable lacquer layer is then deposited on top for overall sensor protection. Finally, the poling procedure aligns with the thickness direction of randomly oriented dipoles in P(VDF-</w:t>
      </w:r>
      <w:proofErr w:type="spellStart"/>
      <w:r>
        <w:t>TrFE</w:t>
      </w:r>
      <w:proofErr w:type="spellEnd"/>
      <w:r>
        <w:t>) crystallites. The sensor array was encapsulated with polymeric skin-like compliant material (Dragon Skin, Smooth-On, USA), which provides the sensor with skin-like compliance.  In particular, the sensing array is integrated between two silicon caps</w:t>
      </w:r>
      <w:r w:rsidR="003457BF">
        <w:t>,</w:t>
      </w:r>
      <w:r>
        <w:t xml:space="preserve"> and an FPC cable is used to extend the sensor tracks. To acquire sensor response, the embedded electronics presented in </w:t>
      </w:r>
      <w:r w:rsidR="002E702D">
        <w:fldChar w:fldCharType="begin" w:fldLock="1"/>
      </w:r>
      <w:r w:rsidR="002E702D">
        <w:instrText>ADDIN CSL_CITATION {"citationItems":[{"id":"ITEM-1","itemData":{"DOI":"10.1098/rsta.2021.0017","ISSN":"1364-503X","abstract":"Tactile feedback is relevant in a broad range of human–machine interaction systems (e.g. teleoperation, virtual reality and prosthetics). The available tactile feedback interfaces comprise few sensing and stimulation units, which limits the amount of information conveyed to the user. The present study describes a novel technology that relies on distributed sensing and stimulation to convey comprehensive tactile feedback to the user of a robotic end effector. The system comprises six flexible sensing arrays (57 sensors) integrated on the fingers and palm of a robotic hand, embedded electronics (64 recording channels), a multichannel stimulator and seven flexible electrodes (64 stimulation pads) placed on the volar side of the subject’s hand. The system was tested in seven subjects asked to recognize contact positions and identify contact sliding on the electronic skin, using distributed anode configuration (DAC) and single dedicated anode configuration. The experiments demonstrated that DAC resulted in substantially better performance. Using DAC, the system successfully translated the contact patterns into electrotactile profiles that the subjects could recognize with satisfactory accuracy ( i . e . median { IQR } of 88.6 { 11 } % for static and 93.3 { 5 } % for dynamic patterns). The proposed system is an important step towards the development of a high-density human–machine interfacing between the user and a robotic hand.","author":[{"dropping-particle":"","family":"Abbass","given":"Yahya","non-dropping-particle":"","parse-names":false,"suffix":""},{"dropping-particle":"","family":"Dosen","given":"Strahinja","non-dropping-particle":"","parse-names":false,"suffix":""},{"dropping-particle":"","family":"Seminara","given":"Lucia","non-dropping-particle":"","parse-names":false,"suffix":""},{"dropping-particle":"","family":"Valle","given":"Maurizio","non-dropping-particle":"","parse-names":false,"suffix":""}],"container-title":"Philosophical Transactions of the Royal Society A: Mathematical, Physical and Engineering Sciences","id":"ITEM-1","issue":"2228","issued":{"date-parts":[["2022","7","25"]]},"page":"23","title":"Full-hand electrotactile feedback using electronic skin and matrix electrodes for high-bandwidth human–machine interfacing","type":"article-journal","volume":"380"},"uris":["http://www.mendeley.com/documents/?uuid=768cdc80-33eb-4c9b-a286-c484a9936b58"]}],"mendeley":{"formattedCitation":"[2]","plainTextFormattedCitation":"[2]"},"properties":{"noteIndex":0},"schema":"https://github.com/citation-style-language/schema/raw/master/csl-citation.json"}</w:instrText>
      </w:r>
      <w:r w:rsidR="002E702D">
        <w:fldChar w:fldCharType="separate"/>
      </w:r>
      <w:r w:rsidR="002E702D" w:rsidRPr="002E702D">
        <w:rPr>
          <w:noProof/>
        </w:rPr>
        <w:t>[2]</w:t>
      </w:r>
      <w:r w:rsidR="002E702D">
        <w:fldChar w:fldCharType="end"/>
      </w:r>
      <w:r>
        <w:t xml:space="preserve"> </w:t>
      </w:r>
      <w:r w:rsidR="003457BF">
        <w:t>are</w:t>
      </w:r>
      <w:r>
        <w:t xml:space="preserve"> utilized in this study. It is based on a </w:t>
      </w:r>
      <w:r w:rsidR="002E702D">
        <w:t>64</w:t>
      </w:r>
      <w:r>
        <w:t xml:space="preserve">-channel analog-to-digital converter (DDC232) and a low-power ARM cortex-M0 microcontroller. </w:t>
      </w:r>
      <w:r w:rsidR="002E702D">
        <w:t>In this study, t</w:t>
      </w:r>
      <w:r>
        <w:t xml:space="preserve">he EE is configured to acquire the tactile signal from the </w:t>
      </w:r>
      <w:r w:rsidR="002E702D">
        <w:t xml:space="preserve">8 </w:t>
      </w:r>
      <w:r>
        <w:t xml:space="preserve">sensors at a sampling rate of </w:t>
      </w:r>
      <w:r w:rsidR="002E702D">
        <w:t xml:space="preserve">2 </w:t>
      </w:r>
      <w:proofErr w:type="spellStart"/>
      <w:r w:rsidR="002E702D">
        <w:t>kSample</w:t>
      </w:r>
      <w:proofErr w:type="spellEnd"/>
      <w:r w:rsidR="002E702D">
        <w:t>\s</w:t>
      </w:r>
      <w:r>
        <w:t xml:space="preserve">. The sensing cap </w:t>
      </w:r>
      <w:r w:rsidR="002E702D">
        <w:t>is</w:t>
      </w:r>
      <w:r>
        <w:t xml:space="preserve"> connected to the EE through a flat cable, which was then connected to a host PC</w:t>
      </w:r>
      <w:r w:rsidR="00BC0F6D">
        <w:t>.</w:t>
      </w:r>
    </w:p>
    <w:p w14:paraId="53082041" w14:textId="29F7C97D" w:rsidR="002E702D" w:rsidRPr="002E702D" w:rsidRDefault="002E702D" w:rsidP="008E6CBC">
      <w:pPr>
        <w:jc w:val="both"/>
        <w:rPr>
          <w:u w:val="single"/>
        </w:rPr>
      </w:pPr>
      <w:r w:rsidRPr="002E702D">
        <w:rPr>
          <w:u w:val="single"/>
        </w:rPr>
        <w:t>References</w:t>
      </w:r>
    </w:p>
    <w:p w14:paraId="72885DE3" w14:textId="73C41E43" w:rsidR="002E702D" w:rsidRPr="002E702D" w:rsidRDefault="002E702D" w:rsidP="002E702D">
      <w:pPr>
        <w:widowControl w:val="0"/>
        <w:autoSpaceDE w:val="0"/>
        <w:autoSpaceDN w:val="0"/>
        <w:adjustRightInd w:val="0"/>
        <w:spacing w:line="240" w:lineRule="auto"/>
        <w:ind w:left="640" w:hanging="640"/>
        <w:jc w:val="both"/>
        <w:rPr>
          <w:rFonts w:ascii="Aptos" w:hAnsi="Aptos" w:cs="Times New Roman"/>
          <w:noProof/>
          <w:kern w:val="0"/>
        </w:rPr>
      </w:pPr>
      <w:r>
        <w:fldChar w:fldCharType="begin" w:fldLock="1"/>
      </w:r>
      <w:r>
        <w:instrText xml:space="preserve">ADDIN Mendeley Bibliography CSL_BIBLIOGRAPHY </w:instrText>
      </w:r>
      <w:r>
        <w:fldChar w:fldCharType="separate"/>
      </w:r>
      <w:r w:rsidRPr="002E702D">
        <w:rPr>
          <w:rFonts w:ascii="Aptos" w:hAnsi="Aptos" w:cs="Times New Roman"/>
          <w:noProof/>
          <w:kern w:val="0"/>
        </w:rPr>
        <w:t>[1]</w:t>
      </w:r>
      <w:r w:rsidRPr="002E702D">
        <w:rPr>
          <w:rFonts w:ascii="Aptos" w:hAnsi="Aptos" w:cs="Times New Roman"/>
          <w:noProof/>
          <w:kern w:val="0"/>
        </w:rPr>
        <w:tab/>
        <w:t xml:space="preserve">M. Zirkl </w:t>
      </w:r>
      <w:r w:rsidRPr="002E702D">
        <w:rPr>
          <w:rFonts w:ascii="Aptos" w:hAnsi="Aptos" w:cs="Times New Roman"/>
          <w:i/>
          <w:iCs/>
          <w:noProof/>
          <w:kern w:val="0"/>
        </w:rPr>
        <w:t>et al.</w:t>
      </w:r>
      <w:r w:rsidRPr="002E702D">
        <w:rPr>
          <w:rFonts w:ascii="Aptos" w:hAnsi="Aptos" w:cs="Times New Roman"/>
          <w:noProof/>
          <w:kern w:val="0"/>
        </w:rPr>
        <w:t xml:space="preserve">, “An all-printed ferroelectric active matrix sensor network based on only five functional materials forming a touchless control interface,” </w:t>
      </w:r>
      <w:r w:rsidRPr="002E702D">
        <w:rPr>
          <w:rFonts w:ascii="Aptos" w:hAnsi="Aptos" w:cs="Times New Roman"/>
          <w:i/>
          <w:iCs/>
          <w:noProof/>
          <w:kern w:val="0"/>
        </w:rPr>
        <w:t>Adv. Mater.</w:t>
      </w:r>
      <w:r w:rsidRPr="002E702D">
        <w:rPr>
          <w:rFonts w:ascii="Aptos" w:hAnsi="Aptos" w:cs="Times New Roman"/>
          <w:noProof/>
          <w:kern w:val="0"/>
        </w:rPr>
        <w:t>, vol. 23, no. 18, pp. 2069–2074, 2011, doi: 10.1002/adma.201100054.</w:t>
      </w:r>
    </w:p>
    <w:p w14:paraId="7486C2CD" w14:textId="77777777" w:rsidR="002E702D" w:rsidRPr="002E702D" w:rsidRDefault="002E702D" w:rsidP="002E702D">
      <w:pPr>
        <w:widowControl w:val="0"/>
        <w:autoSpaceDE w:val="0"/>
        <w:autoSpaceDN w:val="0"/>
        <w:adjustRightInd w:val="0"/>
        <w:spacing w:line="240" w:lineRule="auto"/>
        <w:ind w:left="640" w:hanging="640"/>
        <w:jc w:val="both"/>
        <w:rPr>
          <w:rFonts w:ascii="Aptos" w:hAnsi="Aptos"/>
          <w:noProof/>
        </w:rPr>
      </w:pPr>
      <w:r w:rsidRPr="002E702D">
        <w:rPr>
          <w:rFonts w:ascii="Aptos" w:hAnsi="Aptos" w:cs="Times New Roman"/>
          <w:noProof/>
          <w:kern w:val="0"/>
        </w:rPr>
        <w:t>[2]</w:t>
      </w:r>
      <w:r w:rsidRPr="002E702D">
        <w:rPr>
          <w:rFonts w:ascii="Aptos" w:hAnsi="Aptos" w:cs="Times New Roman"/>
          <w:noProof/>
          <w:kern w:val="0"/>
        </w:rPr>
        <w:tab/>
        <w:t xml:space="preserve">Y. Abbass, S. Dosen, L. Seminara, and M. Valle, “Full-hand electrotactile feedback using electronic skin and matrix electrodes for high-bandwidth human–machine interfacing,” </w:t>
      </w:r>
      <w:r w:rsidRPr="002E702D">
        <w:rPr>
          <w:rFonts w:ascii="Aptos" w:hAnsi="Aptos" w:cs="Times New Roman"/>
          <w:i/>
          <w:iCs/>
          <w:noProof/>
          <w:kern w:val="0"/>
        </w:rPr>
        <w:t>Philos. Trans. R. Soc. A Math. Phys. Eng. Sci.</w:t>
      </w:r>
      <w:r w:rsidRPr="002E702D">
        <w:rPr>
          <w:rFonts w:ascii="Aptos" w:hAnsi="Aptos" w:cs="Times New Roman"/>
          <w:noProof/>
          <w:kern w:val="0"/>
        </w:rPr>
        <w:t>, vol. 380, no. 2228, p. 23, Jul. 2022, doi: 10.1098/rsta.2021.0017.</w:t>
      </w:r>
    </w:p>
    <w:p w14:paraId="609B2DD5" w14:textId="27CDFBC7" w:rsidR="002E702D" w:rsidRDefault="002E702D" w:rsidP="008E6CBC">
      <w:pPr>
        <w:jc w:val="both"/>
      </w:pPr>
      <w:r>
        <w:fldChar w:fldCharType="end"/>
      </w:r>
    </w:p>
    <w:sectPr w:rsidR="002E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wMjO3NDI3NjEwNTNU0lEKTi0uzszPAykwqgUA41iLDiwAAAA="/>
  </w:docVars>
  <w:rsids>
    <w:rsidRoot w:val="008A6735"/>
    <w:rsid w:val="00065D96"/>
    <w:rsid w:val="000970A6"/>
    <w:rsid w:val="00283A1D"/>
    <w:rsid w:val="002E702D"/>
    <w:rsid w:val="003457BF"/>
    <w:rsid w:val="004D5F74"/>
    <w:rsid w:val="008A6735"/>
    <w:rsid w:val="008E6CBC"/>
    <w:rsid w:val="009029AD"/>
    <w:rsid w:val="00A46A3F"/>
    <w:rsid w:val="00BC0F6D"/>
    <w:rsid w:val="00CA0EF2"/>
    <w:rsid w:val="00D81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46F8"/>
  <w15:chartTrackingRefBased/>
  <w15:docId w15:val="{386956E0-EDD0-4AC6-AC75-87BAEC22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735"/>
    <w:rPr>
      <w:rFonts w:eastAsiaTheme="majorEastAsia" w:cstheme="majorBidi"/>
      <w:color w:val="272727" w:themeColor="text1" w:themeTint="D8"/>
    </w:rPr>
  </w:style>
  <w:style w:type="paragraph" w:styleId="Title">
    <w:name w:val="Title"/>
    <w:basedOn w:val="Normal"/>
    <w:next w:val="Normal"/>
    <w:link w:val="TitleChar"/>
    <w:uiPriority w:val="10"/>
    <w:qFormat/>
    <w:rsid w:val="008A6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735"/>
    <w:pPr>
      <w:spacing w:before="160"/>
      <w:jc w:val="center"/>
    </w:pPr>
    <w:rPr>
      <w:i/>
      <w:iCs/>
      <w:color w:val="404040" w:themeColor="text1" w:themeTint="BF"/>
    </w:rPr>
  </w:style>
  <w:style w:type="character" w:customStyle="1" w:styleId="QuoteChar">
    <w:name w:val="Quote Char"/>
    <w:basedOn w:val="DefaultParagraphFont"/>
    <w:link w:val="Quote"/>
    <w:uiPriority w:val="29"/>
    <w:rsid w:val="008A6735"/>
    <w:rPr>
      <w:i/>
      <w:iCs/>
      <w:color w:val="404040" w:themeColor="text1" w:themeTint="BF"/>
    </w:rPr>
  </w:style>
  <w:style w:type="paragraph" w:styleId="ListParagraph">
    <w:name w:val="List Paragraph"/>
    <w:basedOn w:val="Normal"/>
    <w:uiPriority w:val="34"/>
    <w:qFormat/>
    <w:rsid w:val="008A6735"/>
    <w:pPr>
      <w:ind w:left="720"/>
      <w:contextualSpacing/>
    </w:pPr>
  </w:style>
  <w:style w:type="character" w:styleId="IntenseEmphasis">
    <w:name w:val="Intense Emphasis"/>
    <w:basedOn w:val="DefaultParagraphFont"/>
    <w:uiPriority w:val="21"/>
    <w:qFormat/>
    <w:rsid w:val="008A6735"/>
    <w:rPr>
      <w:i/>
      <w:iCs/>
      <w:color w:val="0F4761" w:themeColor="accent1" w:themeShade="BF"/>
    </w:rPr>
  </w:style>
  <w:style w:type="paragraph" w:styleId="IntenseQuote">
    <w:name w:val="Intense Quote"/>
    <w:basedOn w:val="Normal"/>
    <w:next w:val="Normal"/>
    <w:link w:val="IntenseQuoteChar"/>
    <w:uiPriority w:val="30"/>
    <w:qFormat/>
    <w:rsid w:val="008A6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735"/>
    <w:rPr>
      <w:i/>
      <w:iCs/>
      <w:color w:val="0F4761" w:themeColor="accent1" w:themeShade="BF"/>
    </w:rPr>
  </w:style>
  <w:style w:type="character" w:styleId="IntenseReference">
    <w:name w:val="Intense Reference"/>
    <w:basedOn w:val="DefaultParagraphFont"/>
    <w:uiPriority w:val="32"/>
    <w:qFormat/>
    <w:rsid w:val="008A67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C2D0-100E-47FF-B8C0-47671C13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ABBASS</dc:creator>
  <cp:keywords/>
  <dc:description/>
  <cp:lastModifiedBy>YAHYA ABBASS</cp:lastModifiedBy>
  <cp:revision>4</cp:revision>
  <dcterms:created xsi:type="dcterms:W3CDTF">2025-03-21T10:33:00Z</dcterms:created>
  <dcterms:modified xsi:type="dcterms:W3CDTF">2025-03-26T14:48:00Z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f0e35c7b-7684-32b6-9054-b4fb719370ca</vt:lpwstr>
  </property>
  <property fmtid="{D5CDD505-2E9C-101B-9397-08002B2CF9AE}" pid="24" name="Mendeley Citation Style_1">
    <vt:lpwstr>http://www.zotero.org/styles/ieee</vt:lpwstr>
  </property>
</Properties>
</file>