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666666"/>
          <w:sz w:val="18"/>
          <w:szCs w:val="18"/>
        </w:rPr>
        <w:t xml:space="preserve">Nodify — Sistema de Acessibilidade Cefálica para Spotify</w:t>
      </w:r>
    </w:p>
    <w:p>
      <w:pPr>
        <w:pStyle w:val="Heading1"/>
        <w:spacing w:after="140" w:before="280"/>
      </w:pPr>
      <w:r>
        <w:t xml:space="preserve">3.1 Código fonte</w:t>
      </w:r>
    </w:p>
    <w:p>
      <w:pPr>
        <w:spacing w:after="120"/>
      </w:pPr>
      <w:r>
        <w:rPr>
          <w:rFonts w:ascii="Calibri" w:cs="Calibri" w:eastAsia="Calibri" w:hAnsi="Calibri"/>
          <w:i/>
          <w:iCs/>
          <w:color w:val="444444"/>
          <w:sz w:val="18"/>
          <w:szCs w:val="18"/>
        </w:rPr>
        <w:t xml:space="preserve">Desenvolvimento do código do sistema conforme as especificações e padrões de codificação definidos. Indicar padrões de qualidade de código e repositório do código-fonte.</w:t>
      </w:r>
    </w:p>
    <w:p>
      <w:pPr>
        <w:pStyle w:val="Heading2"/>
        <w:spacing w:after="140" w:before="280"/>
      </w:pPr>
      <w:r>
        <w:t xml:space="preserve">Repositório do código-fonte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Mar>
              <w:top w:type="dxa" w:w="60"/>
              <w:left w:type="dxa" w:w="90"/>
              <w:bottom w:type="dxa" w:w="60"/>
              <w:right w:type="dxa" w:w="90"/>
            </w:tcMar>
          </w:tcPr>
          <w:p>
            <w:pPr>
              <w:jc w:val="left"/>
            </w:pPr>
            <w:r>
              <w:rPr>
                <w:rFonts w:ascii="Calibri" w:cs="Calibri" w:eastAsia="Calibri" w:hAnsi="Calibri"/>
                <w:b w:val="false"/>
                <w:bCs w:val="false"/>
                <w:sz w:val="18"/>
                <w:szCs w:val="18"/>
              </w:rPr>
              <w:t xml:space="preserve">Endereço</w:t>
            </w:r>
          </w:p>
        </w:tc>
        <w:tc>
          <w:tcPr>
            <w:tcW w:type="dxa" w:w="6426"/>
            <w:tcMar>
              <w:top w:type="dxa" w:w="60"/>
              <w:left w:type="dxa" w:w="90"/>
              <w:bottom w:type="dxa" w:w="60"/>
              <w:right w:type="dxa" w:w="90"/>
            </w:tcMar>
          </w:tcPr>
          <w:p>
            <w:pPr>
              <w:jc w:val="left"/>
            </w:pPr>
            <w:r>
              <w:rPr>
                <w:rFonts w:ascii="Calibri" w:cs="Calibri" w:eastAsia="Calibri" w:hAnsi="Calibri"/>
                <w:b w:val="false"/>
                <w:bCs w:val="false"/>
                <w:sz w:val="18"/>
                <w:szCs w:val="18"/>
              </w:rPr>
              <w:t xml:space="preserve">https://github.com/nicoleedias/acessibilidade-spotify</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Controle de versão</w:t>
            </w:r>
          </w:p>
        </w:tc>
        <w:tc>
          <w:tcPr>
            <w:tcW w:type="dxa" w:w="6426"/>
            <w:tcMar>
              <w:top w:type="dxa" w:w="60"/>
              <w:left w:type="dxa" w:w="90"/>
              <w:bottom w:type="dxa" w:w="60"/>
              <w:right w:type="dxa" w:w="90"/>
            </w:tcMar>
          </w:tcPr>
          <w:p>
            <w:pPr>
              <w:jc w:val="left"/>
            </w:pPr>
            <w:r>
              <w:rPr>
                <w:rFonts w:ascii="Calibri" w:cs="Calibri" w:eastAsia="Calibri" w:hAnsi="Calibri"/>
                <w:b w:val="false"/>
                <w:bCs w:val="false"/>
                <w:sz w:val="18"/>
                <w:szCs w:val="18"/>
              </w:rPr>
              <w:t xml:space="preserve">Git · branch principal main · 75 commits</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sz w:val="18"/>
                <w:szCs w:val="18"/>
              </w:rPr>
              <w:t xml:space="preserve">Linguagem e plataforma</w:t>
            </w:r>
          </w:p>
        </w:tc>
        <w:tc>
          <w:tcPr>
            <w:tcW w:type="dxa" w:w="6426"/>
            <w:tcMar>
              <w:top w:type="dxa" w:w="60"/>
              <w:left w:type="dxa" w:w="90"/>
              <w:bottom w:type="dxa" w:w="60"/>
              <w:right w:type="dxa" w:w="90"/>
            </w:tcMar>
          </w:tcPr>
          <w:p>
            <w:pPr>
              <w:jc w:val="left"/>
            </w:pPr>
            <w:r>
              <w:rPr>
                <w:rFonts w:ascii="Calibri" w:cs="Calibri" w:eastAsia="Calibri" w:hAnsi="Calibri"/>
                <w:b w:val="false"/>
                <w:bCs w:val="false"/>
                <w:sz w:val="18"/>
                <w:szCs w:val="18"/>
              </w:rPr>
              <w:t xml:space="preserve">Kotlin 2.0.21 · Android Gradle Plugin 8.13.2 · JVM alvo 17</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sz w:val="18"/>
                <w:szCs w:val="18"/>
              </w:rPr>
              <w:t xml:space="preserve">Níveis de API</w:t>
            </w:r>
          </w:p>
        </w:tc>
        <w:tc>
          <w:tcPr>
            <w:tcW w:type="dxa" w:w="6426"/>
            <w:tcMar>
              <w:top w:type="dxa" w:w="60"/>
              <w:left w:type="dxa" w:w="90"/>
              <w:bottom w:type="dxa" w:w="60"/>
              <w:right w:type="dxa" w:w="90"/>
            </w:tcMar>
          </w:tcPr>
          <w:p>
            <w:pPr>
              <w:jc w:val="left"/>
            </w:pPr>
            <w:r>
              <w:rPr>
                <w:rFonts w:ascii="Calibri" w:cs="Calibri" w:eastAsia="Calibri" w:hAnsi="Calibri"/>
                <w:b w:val="false"/>
                <w:bCs w:val="false"/>
                <w:sz w:val="18"/>
                <w:szCs w:val="18"/>
              </w:rPr>
              <w:t xml:space="preserve">minSdk 29 (Android 10) · targetSdk e compileSdk 35</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sz w:val="18"/>
                <w:szCs w:val="18"/>
              </w:rPr>
              <w:t xml:space="preserve">Interface</w:t>
            </w:r>
          </w:p>
        </w:tc>
        <w:tc>
          <w:tcPr>
            <w:tcW w:type="dxa" w:w="6426"/>
            <w:tcMar>
              <w:top w:type="dxa" w:w="60"/>
              <w:left w:type="dxa" w:w="90"/>
              <w:bottom w:type="dxa" w:w="60"/>
              <w:right w:type="dxa" w:w="90"/>
            </w:tcMar>
          </w:tcPr>
          <w:p>
            <w:pPr>
              <w:jc w:val="left"/>
            </w:pPr>
            <w:r>
              <w:rPr>
                <w:rFonts w:ascii="Calibri" w:cs="Calibri" w:eastAsia="Calibri" w:hAnsi="Calibri"/>
                <w:b w:val="false"/>
                <w:bCs w:val="false"/>
                <w:sz w:val="18"/>
                <w:szCs w:val="18"/>
              </w:rPr>
              <w:t xml:space="preserve">Jetpack Compose (Material 3)</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sz w:val="18"/>
                <w:szCs w:val="18"/>
              </w:rPr>
              <w:t xml:space="preserve">Segredos</w:t>
            </w:r>
          </w:p>
        </w:tc>
        <w:tc>
          <w:tcPr>
            <w:tcW w:type="dxa" w:w="6426"/>
            <w:tcMar>
              <w:top w:type="dxa" w:w="60"/>
              <w:left w:type="dxa" w:w="90"/>
              <w:bottom w:type="dxa" w:w="60"/>
              <w:right w:type="dxa" w:w="90"/>
            </w:tcMar>
          </w:tcPr>
          <w:p>
            <w:pPr>
              <w:jc w:val="left"/>
            </w:pPr>
            <w:r>
              <w:rPr>
                <w:rFonts w:ascii="Calibri" w:cs="Calibri" w:eastAsia="Calibri" w:hAnsi="Calibri"/>
                <w:b w:val="false"/>
                <w:bCs w:val="false"/>
                <w:sz w:val="18"/>
                <w:szCs w:val="18"/>
              </w:rPr>
              <w:t xml:space="preserve">O client ID do Spotify fica em local.properties, fora do versionamento. Nenhuma credencial é commitada.</w:t>
            </w:r>
          </w:p>
        </w:tc>
      </w:tr>
    </w:tbl>
    <w:p>
      <w:pPr>
        <w:pStyle w:val="Heading2"/>
        <w:spacing w:after="140" w:before="280"/>
      </w:pPr>
      <w:r>
        <w:t xml:space="preserve">Padrões de codificação adotados</w:t>
      </w:r>
    </w:p>
    <w:p>
      <w:pPr>
        <w:spacing w:after="120"/>
      </w:pPr>
      <w:r>
        <w:rPr>
          <w:rFonts w:ascii="Calibri" w:cs="Calibri" w:eastAsia="Calibri" w:hAnsi="Calibri"/>
          <w:sz w:val="20"/>
          <w:szCs w:val="20"/>
        </w:rPr>
        <w:t xml:space="preserve">Os padrões abaixo estão registrados no arquivo CLAUDE.md, na raiz do repositório, e valem para qualquer pessoa ou ferramenta que altere o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Aspecto</w:t>
            </w:r>
          </w:p>
        </w:tc>
        <w:tc>
          <w:tcPr>
            <w:tcW w:type="dxa" w:w="35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Padrão</w:t>
            </w:r>
          </w:p>
        </w:tc>
        <w:tc>
          <w:tcPr>
            <w:tcW w:type="dxa" w:w="4026"/>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Por que foi adotado</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Arquitetura</w:t>
            </w:r>
          </w:p>
        </w:tc>
        <w:tc>
          <w:tcPr>
            <w:tcW w:type="dxa" w:w="3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MVVM em quatro camadas: apresentação, processamento, integração e dados.</w:t>
            </w:r>
          </w:p>
        </w:tc>
        <w:tc>
          <w:tcPr>
            <w:tcW w:type="dxa" w:w="4026"/>
            <w:tcMar>
              <w:top w:type="dxa" w:w="60"/>
              <w:left w:type="dxa" w:w="90"/>
              <w:bottom w:type="dxa" w:w="60"/>
              <w:right w:type="dxa" w:w="90"/>
            </w:tcMar>
          </w:tcPr>
          <w:p>
            <w:pPr>
              <w:jc w:val="left"/>
            </w:pPr>
            <w:r>
              <w:rPr>
                <w:rFonts w:ascii="Calibri" w:cs="Calibri" w:eastAsia="Calibri" w:hAnsi="Calibri"/>
                <w:b w:val="false"/>
                <w:bCs w:val="false"/>
                <w:sz w:val="18"/>
                <w:szCs w:val="18"/>
              </w:rPr>
              <w:t xml:space="preserve">A camada de domínio não tem nenhum import de Android, o que a torna testável sem emulador.</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Guia de estilo</w:t>
            </w:r>
          </w:p>
        </w:tc>
        <w:tc>
          <w:tcPr>
            <w:tcW w:type="dxa" w:w="3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Kotlin Official Style Guide, verificado automaticamente pelo ktlint.</w:t>
            </w:r>
          </w:p>
        </w:tc>
        <w:tc>
          <w:tcPr>
            <w:tcW w:type="dxa" w:w="4026"/>
            <w:tcMar>
              <w:top w:type="dxa" w:w="60"/>
              <w:left w:type="dxa" w:w="90"/>
              <w:bottom w:type="dxa" w:w="60"/>
              <w:right w:type="dxa" w:w="90"/>
            </w:tcMar>
          </w:tcPr>
          <w:p>
            <w:pPr>
              <w:jc w:val="left"/>
            </w:pPr>
            <w:r>
              <w:rPr>
                <w:rFonts w:ascii="Calibri" w:cs="Calibri" w:eastAsia="Calibri" w:hAnsi="Calibri"/>
                <w:b w:val="false"/>
                <w:bCs w:val="false"/>
                <w:sz w:val="18"/>
                <w:szCs w:val="18"/>
              </w:rPr>
              <w:t xml:space="preserve">Indentação, ordem de imports, nomes e formatação deixam de ser discussão de revisão.</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Imutabilidade</w:t>
            </w:r>
          </w:p>
        </w:tc>
        <w:tc>
          <w:tcPr>
            <w:tcW w:type="dxa" w:w="3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val sobre var; data class para estado; sealed class para máquinas de estado.</w:t>
            </w:r>
          </w:p>
        </w:tc>
        <w:tc>
          <w:tcPr>
            <w:tcW w:type="dxa" w:w="4026"/>
            <w:tcMar>
              <w:top w:type="dxa" w:w="60"/>
              <w:left w:type="dxa" w:w="90"/>
              <w:bottom w:type="dxa" w:w="60"/>
              <w:right w:type="dxa" w:w="90"/>
            </w:tcMar>
          </w:tcPr>
          <w:p>
            <w:pPr>
              <w:jc w:val="left"/>
            </w:pPr>
            <w:r>
              <w:rPr>
                <w:rFonts w:ascii="Calibri" w:cs="Calibri" w:eastAsia="Calibri" w:hAnsi="Calibri"/>
                <w:b w:val="false"/>
                <w:bCs w:val="false"/>
                <w:sz w:val="18"/>
                <w:szCs w:val="18"/>
              </w:rPr>
              <w:t xml:space="preserve">Estado de tela imutável elimina uma classe inteira de defeito de concorrência.</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Nulabilidade</w:t>
            </w:r>
          </w:p>
        </w:tc>
        <w:tc>
          <w:tcPr>
            <w:tcW w:type="dxa" w:w="3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Operador !! proibido. Usa-se requireNotNull() com mensagem ou trata-se o ramo nulo.</w:t>
            </w:r>
          </w:p>
        </w:tc>
        <w:tc>
          <w:tcPr>
            <w:tcW w:type="dxa" w:w="4026"/>
            <w:tcMar>
              <w:top w:type="dxa" w:w="60"/>
              <w:left w:type="dxa" w:w="90"/>
              <w:bottom w:type="dxa" w:w="60"/>
              <w:right w:type="dxa" w:w="90"/>
            </w:tcMar>
          </w:tcPr>
          <w:p>
            <w:pPr>
              <w:jc w:val="left"/>
            </w:pPr>
            <w:r>
              <w:rPr>
                <w:rFonts w:ascii="Calibri" w:cs="Calibri" w:eastAsia="Calibri" w:hAnsi="Calibri"/>
                <w:b w:val="false"/>
                <w:bCs w:val="false"/>
                <w:sz w:val="18"/>
                <w:szCs w:val="18"/>
              </w:rPr>
              <w:t xml:space="preserve">Falha com diagnóstico em vez de NullPointerException anônima.</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Nomenclatura</w:t>
            </w:r>
          </w:p>
        </w:tc>
        <w:tc>
          <w:tcPr>
            <w:tcW w:type="dxa" w:w="3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Identificadores em inglês; textos de interface em res/values/strings.xml.</w:t>
            </w:r>
          </w:p>
        </w:tc>
        <w:tc>
          <w:tcPr>
            <w:tcW w:type="dxa" w:w="4026"/>
            <w:tcMar>
              <w:top w:type="dxa" w:w="60"/>
              <w:left w:type="dxa" w:w="90"/>
              <w:bottom w:type="dxa" w:w="60"/>
              <w:right w:type="dxa" w:w="90"/>
            </w:tcMar>
          </w:tcPr>
          <w:p>
            <w:pPr>
              <w:jc w:val="left"/>
            </w:pPr>
            <w:r>
              <w:rPr>
                <w:rFonts w:ascii="Calibri" w:cs="Calibri" w:eastAsia="Calibri" w:hAnsi="Calibri"/>
                <w:b w:val="false"/>
                <w:bCs w:val="false"/>
                <w:sz w:val="18"/>
                <w:szCs w:val="18"/>
              </w:rPr>
              <w:t xml:space="preserve">Separa código de conteúdo e deixa o app pronto para tradução.</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Compose</w:t>
            </w:r>
          </w:p>
        </w:tc>
        <w:tc>
          <w:tcPr>
            <w:tcW w:type="dxa" w:w="3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Um Composable por tela; estado elevado; sem regra de negócio no Composable.</w:t>
            </w:r>
          </w:p>
        </w:tc>
        <w:tc>
          <w:tcPr>
            <w:tcW w:type="dxa" w:w="4026"/>
            <w:tcMar>
              <w:top w:type="dxa" w:w="60"/>
              <w:left w:type="dxa" w:w="90"/>
              <w:bottom w:type="dxa" w:w="60"/>
              <w:right w:type="dxa" w:w="90"/>
            </w:tcMar>
          </w:tcPr>
          <w:p>
            <w:pPr>
              <w:jc w:val="left"/>
            </w:pPr>
            <w:r>
              <w:rPr>
                <w:rFonts w:ascii="Calibri" w:cs="Calibri" w:eastAsia="Calibri" w:hAnsi="Calibri"/>
                <w:b w:val="false"/>
                <w:bCs w:val="false"/>
                <w:sz w:val="18"/>
                <w:szCs w:val="18"/>
              </w:rPr>
              <w:t xml:space="preserve">É o que permite testar as telas sem subir injeção de dependência.</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Comentários</w:t>
            </w:r>
          </w:p>
        </w:tc>
        <w:tc>
          <w:tcPr>
            <w:tcW w:type="dxa" w:w="3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Só quando o porquê não é óbvio. Proibido comentário descritivo, código comentado e TODO.</w:t>
            </w:r>
          </w:p>
        </w:tc>
        <w:tc>
          <w:tcPr>
            <w:tcW w:type="dxa" w:w="4026"/>
            <w:tcMar>
              <w:top w:type="dxa" w:w="60"/>
              <w:left w:type="dxa" w:w="90"/>
              <w:bottom w:type="dxa" w:w="60"/>
              <w:right w:type="dxa" w:w="90"/>
            </w:tcMar>
          </w:tcPr>
          <w:p>
            <w:pPr>
              <w:jc w:val="left"/>
            </w:pPr>
            <w:r>
              <w:rPr>
                <w:rFonts w:ascii="Calibri" w:cs="Calibri" w:eastAsia="Calibri" w:hAnsi="Calibri"/>
                <w:b w:val="false"/>
                <w:bCs w:val="false"/>
                <w:sz w:val="18"/>
                <w:szCs w:val="18"/>
              </w:rPr>
              <w:t xml:space="preserve">Comentário que repete o código envelhece e passa a mentir.</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Commits</w:t>
            </w:r>
          </w:p>
        </w:tc>
        <w:tc>
          <w:tcPr>
            <w:tcW w:type="dxa" w:w="3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Conventional Commits com o caso de uso entre colchetes — feat(calibration): … [UC02].</w:t>
            </w:r>
          </w:p>
        </w:tc>
        <w:tc>
          <w:tcPr>
            <w:tcW w:type="dxa" w:w="4026"/>
            <w:tcMar>
              <w:top w:type="dxa" w:w="60"/>
              <w:left w:type="dxa" w:w="90"/>
              <w:bottom w:type="dxa" w:w="60"/>
              <w:right w:type="dxa" w:w="90"/>
            </w:tcMar>
          </w:tcPr>
          <w:p>
            <w:pPr>
              <w:jc w:val="left"/>
            </w:pPr>
            <w:r>
              <w:rPr>
                <w:rFonts w:ascii="Calibri" w:cs="Calibri" w:eastAsia="Calibri" w:hAnsi="Calibri"/>
                <w:b w:val="false"/>
                <w:bCs w:val="false"/>
                <w:sz w:val="18"/>
                <w:szCs w:val="18"/>
              </w:rPr>
              <w:t xml:space="preserve">Liga cada commit ao requisito que ele atende, de forma rastreável.</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Persistência</w:t>
            </w:r>
          </w:p>
        </w:tc>
        <w:tc>
          <w:tcPr>
            <w:tcW w:type="dxa" w:w="3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Migração de banco é sempre arquivo novo; migração existente nunca é editada.</w:t>
            </w:r>
          </w:p>
        </w:tc>
        <w:tc>
          <w:tcPr>
            <w:tcW w:type="dxa" w:w="4026"/>
            <w:tcMar>
              <w:top w:type="dxa" w:w="60"/>
              <w:left w:type="dxa" w:w="90"/>
              <w:bottom w:type="dxa" w:w="60"/>
              <w:right w:type="dxa" w:w="90"/>
            </w:tcMar>
          </w:tcPr>
          <w:p>
            <w:pPr>
              <w:jc w:val="left"/>
            </w:pPr>
            <w:r>
              <w:rPr>
                <w:rFonts w:ascii="Calibri" w:cs="Calibri" w:eastAsia="Calibri" w:hAnsi="Calibri"/>
                <w:b w:val="false"/>
                <w:bCs w:val="false"/>
                <w:sz w:val="18"/>
                <w:szCs w:val="18"/>
              </w:rPr>
              <w:t xml:space="preserve">Editar migração já aplicada corrompe a base de quem atualizou.</w:t>
            </w:r>
          </w:p>
        </w:tc>
      </w:tr>
    </w:tbl>
    <w:p>
      <w:pPr>
        <w:pStyle w:val="Heading2"/>
        <w:spacing w:after="140" w:before="280"/>
      </w:pPr>
      <w:r>
        <w:t xml:space="preserve">Ferramentas de garantia de qualidade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1700"/>
        <w:gridCol w:w="2200"/>
        <w:gridCol w:w="2626"/>
      </w:tblGrid>
      <w:tr>
        <w:trPr>
          <w:tblHeader/>
        </w:trPr>
        <w:tc>
          <w:tcPr>
            <w:tcW w:type="dxa" w:w="125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Ferramenta</w:t>
            </w:r>
          </w:p>
        </w:tc>
        <w:tc>
          <w:tcPr>
            <w:tcW w:type="dxa" w:w="125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Versão</w:t>
            </w:r>
          </w:p>
        </w:tc>
        <w:tc>
          <w:tcPr>
            <w:tcW w:type="dxa" w:w="17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Verifica</w:t>
            </w:r>
          </w:p>
        </w:tc>
        <w:tc>
          <w:tcPr>
            <w:tcW w:type="dxa" w:w="22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Comando</w:t>
            </w:r>
          </w:p>
        </w:tc>
        <w:tc>
          <w:tcPr>
            <w:tcW w:type="dxa" w:w="2626"/>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Observação</w:t>
            </w:r>
          </w:p>
        </w:tc>
      </w:tr>
      <w:tr>
        <w:tc>
          <w:tcPr>
            <w:tcW w:type="dxa" w:w="1250"/>
            <w:tcMar>
              <w:top w:type="dxa" w:w="60"/>
              <w:left w:type="dxa" w:w="90"/>
              <w:bottom w:type="dxa" w:w="60"/>
              <w:right w:type="dxa" w:w="90"/>
            </w:tcMar>
          </w:tcPr>
          <w:p>
            <w:pPr>
              <w:jc w:val="left"/>
            </w:pPr>
            <w:r>
              <w:rPr>
                <w:rFonts w:ascii="Calibri" w:cs="Calibri" w:eastAsia="Calibri" w:hAnsi="Calibri"/>
                <w:b w:val="false"/>
                <w:bCs w:val="false"/>
                <w:sz w:val="18"/>
                <w:szCs w:val="18"/>
              </w:rPr>
              <w:t xml:space="preserve">ktlint</w:t>
            </w:r>
          </w:p>
        </w:tc>
        <w:tc>
          <w:tcPr>
            <w:tcW w:type="dxa" w:w="1250"/>
            <w:tcMar>
              <w:top w:type="dxa" w:w="60"/>
              <w:left w:type="dxa" w:w="90"/>
              <w:bottom w:type="dxa" w:w="60"/>
              <w:right w:type="dxa" w:w="90"/>
            </w:tcMar>
          </w:tcPr>
          <w:p>
            <w:pPr>
              <w:jc w:val="left"/>
            </w:pPr>
            <w:r>
              <w:rPr>
                <w:rFonts w:ascii="Calibri" w:cs="Calibri" w:eastAsia="Calibri" w:hAnsi="Calibri"/>
                <w:b w:val="false"/>
                <w:bCs w:val="false"/>
                <w:sz w:val="18"/>
                <w:szCs w:val="18"/>
              </w:rPr>
              <w:t xml:space="preserve">12.1.1</w:t>
            </w:r>
          </w:p>
        </w:tc>
        <w:tc>
          <w:tcPr>
            <w:tcW w:type="dxa" w:w="1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Formatação e estilo</w:t>
            </w:r>
          </w:p>
        </w:tc>
        <w:tc>
          <w:tcPr>
            <w:tcW w:type="dxa" w:w="2200"/>
            <w:tcMar>
              <w:top w:type="dxa" w:w="60"/>
              <w:left w:type="dxa" w:w="90"/>
              <w:bottom w:type="dxa" w:w="60"/>
              <w:right w:type="dxa" w:w="90"/>
            </w:tcMar>
          </w:tcPr>
          <w:p>
            <w:pPr>
              <w:jc w:val="left"/>
            </w:pPr>
            <w:r>
              <w:rPr>
                <w:rFonts w:ascii="Calibri" w:cs="Calibri" w:eastAsia="Calibri" w:hAnsi="Calibri"/>
                <w:b w:val="false"/>
                <w:bCs w:val="false"/>
                <w:sz w:val="18"/>
                <w:szCs w:val="18"/>
              </w:rPr>
              <w:t xml:space="preserve">./gradlew ktlintCheck</w:t>
            </w:r>
          </w:p>
        </w:tc>
        <w:tc>
          <w:tcPr>
            <w:tcW w:type="dxa" w:w="2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Modo Android ativo; ktlintFormat corrige automaticamente.</w:t>
            </w:r>
          </w:p>
        </w:tc>
      </w:tr>
      <w:tr>
        <w:tc>
          <w:tcPr>
            <w:tcW w:type="dxa" w:w="1250"/>
            <w:tcMar>
              <w:top w:type="dxa" w:w="60"/>
              <w:left w:type="dxa" w:w="90"/>
              <w:bottom w:type="dxa" w:w="60"/>
              <w:right w:type="dxa" w:w="90"/>
            </w:tcMar>
          </w:tcPr>
          <w:p>
            <w:pPr>
              <w:jc w:val="left"/>
            </w:pPr>
            <w:r>
              <w:rPr>
                <w:rFonts w:ascii="Calibri" w:cs="Calibri" w:eastAsia="Calibri" w:hAnsi="Calibri"/>
                <w:b w:val="false"/>
                <w:bCs w:val="false"/>
                <w:sz w:val="18"/>
                <w:szCs w:val="18"/>
              </w:rPr>
              <w:t xml:space="preserve">detekt</w:t>
            </w:r>
          </w:p>
        </w:tc>
        <w:tc>
          <w:tcPr>
            <w:tcW w:type="dxa" w:w="1250"/>
            <w:tcMar>
              <w:top w:type="dxa" w:w="60"/>
              <w:left w:type="dxa" w:w="90"/>
              <w:bottom w:type="dxa" w:w="60"/>
              <w:right w:type="dxa" w:w="90"/>
            </w:tcMar>
          </w:tcPr>
          <w:p>
            <w:pPr>
              <w:jc w:val="left"/>
            </w:pPr>
            <w:r>
              <w:rPr>
                <w:rFonts w:ascii="Calibri" w:cs="Calibri" w:eastAsia="Calibri" w:hAnsi="Calibri"/>
                <w:b w:val="false"/>
                <w:bCs w:val="false"/>
                <w:sz w:val="18"/>
                <w:szCs w:val="18"/>
              </w:rPr>
              <w:t xml:space="preserve">1.23.7</w:t>
            </w:r>
          </w:p>
        </w:tc>
        <w:tc>
          <w:tcPr>
            <w:tcW w:type="dxa" w:w="1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Análise estática</w:t>
            </w:r>
          </w:p>
        </w:tc>
        <w:tc>
          <w:tcPr>
            <w:tcW w:type="dxa" w:w="2200"/>
            <w:tcMar>
              <w:top w:type="dxa" w:w="60"/>
              <w:left w:type="dxa" w:w="90"/>
              <w:bottom w:type="dxa" w:w="60"/>
              <w:right w:type="dxa" w:w="90"/>
            </w:tcMar>
          </w:tcPr>
          <w:p>
            <w:pPr>
              <w:jc w:val="left"/>
            </w:pPr>
            <w:r>
              <w:rPr>
                <w:rFonts w:ascii="Calibri" w:cs="Calibri" w:eastAsia="Calibri" w:hAnsi="Calibri"/>
                <w:b w:val="false"/>
                <w:bCs w:val="false"/>
                <w:sz w:val="18"/>
                <w:szCs w:val="18"/>
              </w:rPr>
              <w:t xml:space="preserve">./gradlew detekt</w:t>
            </w:r>
          </w:p>
        </w:tc>
        <w:tc>
          <w:tcPr>
            <w:tcW w:type="dxa" w:w="2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Configuração própria em config/detekt.yml; complexidade e code smells.</w:t>
            </w:r>
          </w:p>
        </w:tc>
      </w:tr>
      <w:tr>
        <w:tc>
          <w:tcPr>
            <w:tcW w:type="dxa" w:w="1250"/>
            <w:tcMar>
              <w:top w:type="dxa" w:w="60"/>
              <w:left w:type="dxa" w:w="90"/>
              <w:bottom w:type="dxa" w:w="60"/>
              <w:right w:type="dxa" w:w="90"/>
            </w:tcMar>
          </w:tcPr>
          <w:p>
            <w:pPr>
              <w:jc w:val="left"/>
            </w:pPr>
            <w:r>
              <w:rPr>
                <w:rFonts w:ascii="Calibri" w:cs="Calibri" w:eastAsia="Calibri" w:hAnsi="Calibri"/>
                <w:b w:val="false"/>
                <w:bCs w:val="false"/>
                <w:sz w:val="18"/>
                <w:szCs w:val="18"/>
              </w:rPr>
              <w:t xml:space="preserve">Kover</w:t>
            </w:r>
          </w:p>
        </w:tc>
        <w:tc>
          <w:tcPr>
            <w:tcW w:type="dxa" w:w="1250"/>
            <w:tcMar>
              <w:top w:type="dxa" w:w="60"/>
              <w:left w:type="dxa" w:w="90"/>
              <w:bottom w:type="dxa" w:w="60"/>
              <w:right w:type="dxa" w:w="90"/>
            </w:tcMar>
          </w:tcPr>
          <w:p>
            <w:pPr>
              <w:jc w:val="left"/>
            </w:pPr>
            <w:r>
              <w:rPr>
                <w:rFonts w:ascii="Calibri" w:cs="Calibri" w:eastAsia="Calibri" w:hAnsi="Calibri"/>
                <w:b w:val="false"/>
                <w:bCs w:val="false"/>
                <w:sz w:val="18"/>
                <w:szCs w:val="18"/>
              </w:rPr>
              <w:t xml:space="preserve">0.9.1</w:t>
            </w:r>
          </w:p>
        </w:tc>
        <w:tc>
          <w:tcPr>
            <w:tcW w:type="dxa" w:w="1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Cobertura de testes</w:t>
            </w:r>
          </w:p>
        </w:tc>
        <w:tc>
          <w:tcPr>
            <w:tcW w:type="dxa" w:w="2200"/>
            <w:tcMar>
              <w:top w:type="dxa" w:w="60"/>
              <w:left w:type="dxa" w:w="90"/>
              <w:bottom w:type="dxa" w:w="60"/>
              <w:right w:type="dxa" w:w="90"/>
            </w:tcMar>
          </w:tcPr>
          <w:p>
            <w:pPr>
              <w:jc w:val="left"/>
            </w:pPr>
            <w:r>
              <w:rPr>
                <w:rFonts w:ascii="Calibri" w:cs="Calibri" w:eastAsia="Calibri" w:hAnsi="Calibri"/>
                <w:b w:val="false"/>
                <w:bCs w:val="false"/>
                <w:sz w:val="18"/>
                <w:szCs w:val="18"/>
              </w:rPr>
              <w:t xml:space="preserve">./gradlew koverHtmlReportDebug</w:t>
            </w:r>
          </w:p>
        </w:tc>
        <w:tc>
          <w:tcPr>
            <w:tcW w:type="dxa" w:w="2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Exclui código gerado (Hilt, Room, Compose), que inflaria o indicador.</w:t>
            </w:r>
          </w:p>
        </w:tc>
      </w:tr>
      <w:tr>
        <w:tc>
          <w:tcPr>
            <w:tcW w:type="dxa" w:w="1250"/>
            <w:tcMar>
              <w:top w:type="dxa" w:w="60"/>
              <w:left w:type="dxa" w:w="90"/>
              <w:bottom w:type="dxa" w:w="60"/>
              <w:right w:type="dxa" w:w="90"/>
            </w:tcMar>
          </w:tcPr>
          <w:p>
            <w:pPr>
              <w:jc w:val="left"/>
            </w:pPr>
            <w:r>
              <w:rPr>
                <w:rFonts w:ascii="Calibri" w:cs="Calibri" w:eastAsia="Calibri" w:hAnsi="Calibri"/>
                <w:b w:val="false"/>
                <w:bCs w:val="false"/>
                <w:sz w:val="18"/>
                <w:szCs w:val="18"/>
              </w:rPr>
              <w:t xml:space="preserve">JUnit 4 + MockK</w:t>
            </w:r>
          </w:p>
        </w:tc>
        <w:tc>
          <w:tcPr>
            <w:tcW w:type="dxa" w:w="1250"/>
            <w:tcMar>
              <w:top w:type="dxa" w:w="60"/>
              <w:left w:type="dxa" w:w="90"/>
              <w:bottom w:type="dxa" w:w="60"/>
              <w:right w:type="dxa" w:w="90"/>
            </w:tcMar>
          </w:tcPr>
          <w:p>
            <w:pPr>
              <w:jc w:val="left"/>
            </w:pPr>
            <w:r>
              <w:rPr>
                <w:rFonts w:ascii="Calibri" w:cs="Calibri" w:eastAsia="Calibri" w:hAnsi="Calibri"/>
                <w:b w:val="false"/>
                <w:bCs w:val="false"/>
                <w:sz w:val="18"/>
                <w:szCs w:val="18"/>
              </w:rPr>
              <w:t xml:space="preserve">4.13.2 / 1.13.13</w:t>
            </w:r>
          </w:p>
        </w:tc>
        <w:tc>
          <w:tcPr>
            <w:tcW w:type="dxa" w:w="1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Testes unitários</w:t>
            </w:r>
          </w:p>
        </w:tc>
        <w:tc>
          <w:tcPr>
            <w:tcW w:type="dxa" w:w="2200"/>
            <w:tcMar>
              <w:top w:type="dxa" w:w="60"/>
              <w:left w:type="dxa" w:w="90"/>
              <w:bottom w:type="dxa" w:w="60"/>
              <w:right w:type="dxa" w:w="90"/>
            </w:tcMar>
          </w:tcPr>
          <w:p>
            <w:pPr>
              <w:jc w:val="left"/>
            </w:pPr>
            <w:r>
              <w:rPr>
                <w:rFonts w:ascii="Calibri" w:cs="Calibri" w:eastAsia="Calibri" w:hAnsi="Calibri"/>
                <w:b w:val="false"/>
                <w:bCs w:val="false"/>
                <w:sz w:val="18"/>
                <w:szCs w:val="18"/>
              </w:rPr>
              <w:t xml:space="preserve">./gradlew test</w:t>
            </w:r>
          </w:p>
        </w:tc>
        <w:tc>
          <w:tcPr>
            <w:tcW w:type="dxa" w:w="2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MockK simula classes final e funções suspend sem configuração extra.</w:t>
            </w:r>
          </w:p>
        </w:tc>
      </w:tr>
    </w:tbl>
    <w:p>
      <w:pPr>
        <w:pStyle w:val="Heading3"/>
        <w:spacing w:after="140" w:before="280"/>
      </w:pPr>
      <w:r>
        <w:t xml:space="preserve">Portão de qualidade obrigatório</w:t>
      </w:r>
    </w:p>
    <w:p>
      <w:pPr>
        <w:spacing w:after="120"/>
      </w:pPr>
      <w:r>
        <w:rPr>
          <w:rFonts w:ascii="Calibri" w:cs="Calibri" w:eastAsia="Calibri" w:hAnsi="Calibri"/>
          <w:sz w:val="20"/>
          <w:szCs w:val="20"/>
        </w:rPr>
        <w:t xml:space="preserve">Nenhuma alteração é integrada sem que o comando abaixo passe por completo. Os três verificadores são executados em sequência e qualquer falha interrompe a entrega.</w:t>
      </w:r>
    </w:p>
    <w:p>
      <w:pPr>
        <w:shd w:fill="F2F4F7" w:val="clear"/>
        <w:spacing w:after="0" w:before="80"/>
      </w:pPr>
      <w:r>
        <w:rPr>
          <w:rFonts w:ascii="Consolas" w:cs="Consolas" w:eastAsia="Consolas" w:hAnsi="Consolas"/>
          <w:sz w:val="18"/>
          <w:szCs w:val="18"/>
        </w:rPr>
        <w:t xml:space="preserve">./gradlew ktlintCheck detekt test</w:t>
      </w:r>
    </w:p>
    <w:p>
      <w:pPr>
        <w:shd w:fill="F2F4F7" w:val="clear"/>
        <w:spacing w:after="180" w:before="0"/>
      </w:pPr>
      <w:r>
        <w:rPr>
          <w:rFonts w:ascii="Consolas" w:cs="Consolas" w:eastAsia="Consolas" w:hAnsi="Consolas"/>
          <w:sz w:val="18"/>
          <w:szCs w:val="18"/>
        </w:rPr>
        <w:t xml:space="preserve">BUILD SUCCESSFUL — 186 testes, 0 falhas</w:t>
      </w:r>
    </w:p>
    <w:p>
      <w:pPr>
        <w:spacing w:after="120"/>
      </w:pPr>
      <w:r>
        <w:rPr>
          <w:rFonts w:ascii="Calibri" w:cs="Calibri" w:eastAsia="Calibri" w:hAnsi="Calibri"/>
          <w:sz w:val="20"/>
          <w:szCs w:val="20"/>
        </w:rPr>
        <w:t xml:space="preserve">Os padrões não dependem de disciplina individual: estilo e complexidade são verificados por ferramenta, e o portão roda antes de qualquer integração. O que o revisor humano examina é o que a ferramenta não alcança — aderência ao requisito, segurança e preservação do comportamento existente.</w:t>
      </w:r>
    </w:p>
    <w:p>
      <w:r>
        <w:br w:type="page"/>
      </w:r>
    </w:p>
    <w:p>
      <w:pPr>
        <w:pStyle w:val="Heading1"/>
        <w:spacing w:after="140" w:before="280"/>
      </w:pPr>
      <w:r>
        <w:t xml:space="preserve">3.2 Teste de unidade</w:t>
      </w:r>
    </w:p>
    <w:p>
      <w:pPr>
        <w:spacing w:after="120"/>
      </w:pPr>
      <w:r>
        <w:rPr>
          <w:rFonts w:ascii="Calibri" w:cs="Calibri" w:eastAsia="Calibri" w:hAnsi="Calibri"/>
          <w:i/>
          <w:iCs/>
          <w:color w:val="444444"/>
          <w:sz w:val="18"/>
          <w:szCs w:val="18"/>
        </w:rPr>
        <w:t xml:space="preserve">Testes realizados pelos desenvolvedores para verificar se cada unidade do código funciona corretamente de forma isolada. Apresentar o resultado dos indicadores de qualidade do código (% de cobertura; taxa de sucesso).</w:t>
      </w:r>
    </w:p>
    <w:p>
      <w:pPr>
        <w:spacing w:after="120"/>
      </w:pPr>
      <w:r>
        <w:rPr>
          <w:rFonts w:ascii="Calibri" w:cs="Calibri" w:eastAsia="Calibri" w:hAnsi="Calibri"/>
          <w:sz w:val="20"/>
          <w:szCs w:val="20"/>
        </w:rPr>
        <w:t xml:space="preserve">A suíte unitária tem 186 testes que rodam na JVM, sem emulador nem aparelho, em menos de quatro segundos. Cada teste exercita uma classe isolada, com as dependências substituídas por simulações (MockK). São executados a cada alteração, como parte do portão de qualidade.</w:t>
      </w:r>
    </w:p>
    <w:p>
      <w:pPr>
        <w:pStyle w:val="Heading2"/>
        <w:spacing w:after="140" w:before="280"/>
      </w:pPr>
      <w:r>
        <w:t xml:space="preserve">Indicadores de qualidade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Indicador</w:t>
            </w:r>
          </w:p>
        </w:tc>
        <w:tc>
          <w:tcPr>
            <w:tcW w:type="dxa" w:w="3626"/>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Resultado</w:t>
            </w:r>
          </w:p>
        </w:tc>
      </w:tr>
      <w:tr>
        <w:tc>
          <w:tcPr>
            <w:tcW w:type="dxa" w:w="5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Quantidade de testes unitários</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186</w:t>
            </w:r>
          </w:p>
        </w:tc>
      </w:tr>
      <w:tr>
        <w:tc>
          <w:tcPr>
            <w:tcW w:type="dxa" w:w="5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Testes aprovados</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186</w:t>
            </w:r>
          </w:p>
        </w:tc>
      </w:tr>
      <w:tr>
        <w:tc>
          <w:tcPr>
            <w:tcW w:type="dxa" w:w="5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Testes reprovados</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0</w:t>
            </w:r>
          </w:p>
        </w:tc>
      </w:tr>
      <w:tr>
        <w:tc>
          <w:tcPr>
            <w:tcW w:type="dxa" w:w="5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Taxa de sucesso</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100 %</w:t>
            </w:r>
          </w:p>
        </w:tc>
      </w:tr>
      <w:tr>
        <w:tc>
          <w:tcPr>
            <w:tcW w:type="dxa" w:w="5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Cobertura de linhas — núcleo lógico</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71,4 % (543/760)</w:t>
            </w:r>
          </w:p>
        </w:tc>
      </w:tr>
      <w:tr>
        <w:tc>
          <w:tcPr>
            <w:tcW w:type="dxa" w:w="5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Cobertura de linhas — todo o aplicativo</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22,0 % (543/2.463)</w:t>
            </w:r>
          </w:p>
        </w:tc>
      </w:tr>
      <w:tr>
        <w:tc>
          <w:tcPr>
            <w:tcW w:type="dxa" w:w="5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Cobertura de ramos (branches)</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26,2 % (208/793)</w:t>
            </w:r>
          </w:p>
        </w:tc>
      </w:tr>
      <w:tr>
        <w:tc>
          <w:tcPr>
            <w:tcW w:type="dxa" w:w="5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Cobertura de classes</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44,7 % (68/152)</w:t>
            </w:r>
          </w:p>
        </w:tc>
      </w:tr>
      <w:tr>
        <w:tc>
          <w:tcPr>
            <w:tcW w:type="dxa" w:w="5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Tempo de execução da suíte</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3,6 s</w:t>
            </w:r>
          </w:p>
        </w:tc>
      </w:tr>
    </w:tbl>
    <w:p>
      <w:pPr>
        <w:pBdr>
          <w:left w:val="single" w:color="F0B400" w:sz="18" w:space="6"/>
        </w:pBdr>
        <w:shd w:fill="FFF8E1" w:val="clear"/>
        <w:spacing w:after="200" w:before="120"/>
      </w:pPr>
      <w:r>
        <w:rPr>
          <w:rFonts w:ascii="Calibri" w:cs="Calibri" w:eastAsia="Calibri" w:hAnsi="Calibri"/>
          <w:b/>
          <w:bCs/>
          <w:sz w:val="20"/>
          <w:szCs w:val="20"/>
        </w:rPr>
        <w:t xml:space="preserve">Por que dois números de cobertura.</w:t>
      </w:r>
      <w:r>
        <w:rPr>
          <w:rFonts w:ascii="Calibri" w:cs="Calibri" w:eastAsia="Calibri" w:hAnsi="Calibri"/>
          <w:sz w:val="20"/>
          <w:szCs w:val="20"/>
        </w:rPr>
        <w:t xml:space="preserve"> O indicador global (22,0 %) considera todas as 2.463 linhas do aplicativo, inclusive as 1.300 linhas de Composables — a descrição declarativa das telas — e as declarações de tema, navegação e injeção de dependência, que não contêm lógica e não são alcançáveis por teste de unidade. O indicador do núcleo lógico (71,4 %) considera apenas o código com comportamento verificável sem dispositivo. Os dois estão apresentados porque o primeiro sozinho subestima a qualidade da suíte, e o segundo sozinho esconderia o que ainda não é testado.</w:t>
      </w:r>
    </w:p>
    <w:p>
      <w:pPr>
        <w:pStyle w:val="Heading2"/>
        <w:spacing w:after="140" w:before="280"/>
      </w:pPr>
      <w:r>
        <w:t xml:space="preserve">Cobertura por camada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100"/>
        <w:gridCol w:w="3926"/>
      </w:tblGrid>
      <w:tr>
        <w:trPr>
          <w:tblHeader/>
        </w:trPr>
        <w:tc>
          <w:tcPr>
            <w:tcW w:type="dxa" w:w="30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Camada</w:t>
            </w:r>
          </w:p>
        </w:tc>
        <w:tc>
          <w:tcPr>
            <w:tcW w:type="dxa" w:w="10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Linhas</w:t>
            </w:r>
          </w:p>
        </w:tc>
        <w:tc>
          <w:tcPr>
            <w:tcW w:type="dxa" w:w="11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Cobertura</w:t>
            </w:r>
          </w:p>
        </w:tc>
        <w:tc>
          <w:tcPr>
            <w:tcW w:type="dxa" w:w="3926"/>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Leitura do resultado</w:t>
            </w:r>
          </w:p>
        </w:tc>
      </w:tr>
      <w:tr>
        <w:tc>
          <w:tcPr>
            <w:tcW w:type="dxa" w:w="3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Domínio — regras de gesto e calibração</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69/69</w:t>
            </w:r>
          </w:p>
        </w:tc>
        <w:tc>
          <w:tcPr>
            <w:tcW w:type="dxa" w:w="1100"/>
            <w:tcMar>
              <w:top w:type="dxa" w:w="60"/>
              <w:left w:type="dxa" w:w="90"/>
              <w:bottom w:type="dxa" w:w="60"/>
              <w:right w:type="dxa" w:w="90"/>
            </w:tcMar>
          </w:tcPr>
          <w:p>
            <w:pPr>
              <w:jc w:val="left"/>
            </w:pPr>
            <w:r>
              <w:rPr>
                <w:rFonts w:ascii="Calibri" w:cs="Calibri" w:eastAsia="Calibri" w:hAnsi="Calibri"/>
                <w:b w:val="false"/>
                <w:bCs w:val="false"/>
                <w:sz w:val="18"/>
                <w:szCs w:val="18"/>
              </w:rPr>
              <w:t xml:space="preserve">100 %</w:t>
            </w:r>
          </w:p>
        </w:tc>
        <w:tc>
          <w:tcPr>
            <w:tcW w:type="dxa" w:w="3926"/>
            <w:tcMar>
              <w:top w:type="dxa" w:w="60"/>
              <w:left w:type="dxa" w:w="90"/>
              <w:bottom w:type="dxa" w:w="60"/>
              <w:right w:type="dxa" w:w="90"/>
            </w:tcMar>
          </w:tcPr>
          <w:p>
            <w:pPr>
              <w:jc w:val="left"/>
            </w:pPr>
            <w:r>
              <w:rPr>
                <w:rFonts w:ascii="Calibri" w:cs="Calibri" w:eastAsia="Calibri" w:hAnsi="Calibri"/>
                <w:b w:val="false"/>
                <w:bCs w:val="false"/>
                <w:sz w:val="18"/>
                <w:szCs w:val="18"/>
              </w:rPr>
              <w:t xml:space="preserve">Kotlin puro, sem Android. Alvo declarado de cobertura total.</w:t>
            </w:r>
          </w:p>
        </w:tc>
      </w:tr>
      <w:tr>
        <w:tc>
          <w:tcPr>
            <w:tcW w:type="dxa" w:w="3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Dados — mapeamento gesto→ação</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32/32</w:t>
            </w:r>
          </w:p>
        </w:tc>
        <w:tc>
          <w:tcPr>
            <w:tcW w:type="dxa" w:w="1100"/>
            <w:tcMar>
              <w:top w:type="dxa" w:w="60"/>
              <w:left w:type="dxa" w:w="90"/>
              <w:bottom w:type="dxa" w:w="60"/>
              <w:right w:type="dxa" w:w="90"/>
            </w:tcMar>
          </w:tcPr>
          <w:p>
            <w:pPr>
              <w:jc w:val="left"/>
            </w:pPr>
            <w:r>
              <w:rPr>
                <w:rFonts w:ascii="Calibri" w:cs="Calibri" w:eastAsia="Calibri" w:hAnsi="Calibri"/>
                <w:b w:val="false"/>
                <w:bCs w:val="false"/>
                <w:sz w:val="18"/>
                <w:szCs w:val="18"/>
              </w:rPr>
              <w:t xml:space="preserve">100 %</w:t>
            </w:r>
          </w:p>
        </w:tc>
        <w:tc>
          <w:tcPr>
            <w:tcW w:type="dxa" w:w="3926"/>
            <w:tcMar>
              <w:top w:type="dxa" w:w="60"/>
              <w:left w:type="dxa" w:w="90"/>
              <w:bottom w:type="dxa" w:w="60"/>
              <w:right w:type="dxa" w:w="90"/>
            </w:tcMar>
          </w:tcPr>
          <w:p>
            <w:pPr>
              <w:jc w:val="left"/>
            </w:pPr>
            <w:r>
              <w:rPr>
                <w:rFonts w:ascii="Calibri" w:cs="Calibri" w:eastAsia="Calibri" w:hAnsi="Calibri"/>
                <w:b w:val="false"/>
                <w:bCs w:val="false"/>
                <w:sz w:val="18"/>
                <w:szCs w:val="18"/>
              </w:rPr>
              <w:t xml:space="preserve">Lógica do repositório com acesso a dados simulado.</w:t>
            </w:r>
          </w:p>
        </w:tc>
      </w:tr>
      <w:tr>
        <w:tc>
          <w:tcPr>
            <w:tcW w:type="dxa" w:w="3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Integração Spotify — comandos e faixa</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38/38</w:t>
            </w:r>
          </w:p>
        </w:tc>
        <w:tc>
          <w:tcPr>
            <w:tcW w:type="dxa" w:w="1100"/>
            <w:tcMar>
              <w:top w:type="dxa" w:w="60"/>
              <w:left w:type="dxa" w:w="90"/>
              <w:bottom w:type="dxa" w:w="60"/>
              <w:right w:type="dxa" w:w="90"/>
            </w:tcMar>
          </w:tcPr>
          <w:p>
            <w:pPr>
              <w:jc w:val="left"/>
            </w:pPr>
            <w:r>
              <w:rPr>
                <w:rFonts w:ascii="Calibri" w:cs="Calibri" w:eastAsia="Calibri" w:hAnsi="Calibri"/>
                <w:b w:val="false"/>
                <w:bCs w:val="false"/>
                <w:sz w:val="18"/>
                <w:szCs w:val="18"/>
              </w:rPr>
              <w:t xml:space="preserve">100 %</w:t>
            </w:r>
          </w:p>
        </w:tc>
        <w:tc>
          <w:tcPr>
            <w:tcW w:type="dxa" w:w="3926"/>
            <w:tcMar>
              <w:top w:type="dxa" w:w="60"/>
              <w:left w:type="dxa" w:w="90"/>
              <w:bottom w:type="dxa" w:w="60"/>
              <w:right w:type="dxa" w:w="90"/>
            </w:tcMar>
          </w:tcPr>
          <w:p>
            <w:pPr>
              <w:jc w:val="left"/>
            </w:pPr>
            <w:r>
              <w:rPr>
                <w:rFonts w:ascii="Calibri" w:cs="Calibri" w:eastAsia="Calibri" w:hAnsi="Calibri"/>
                <w:b w:val="false"/>
                <w:bCs w:val="false"/>
                <w:sz w:val="18"/>
                <w:szCs w:val="18"/>
              </w:rPr>
              <w:t xml:space="preserve">Inclui a tradução de 403 e 404 em mensagem para o usuário.</w:t>
            </w:r>
          </w:p>
        </w:tc>
      </w:tr>
      <w:tr>
        <w:tc>
          <w:tcPr>
            <w:tcW w:type="dxa" w:w="3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Modelos da API Spotify</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21/31</w:t>
            </w:r>
          </w:p>
        </w:tc>
        <w:tc>
          <w:tcPr>
            <w:tcW w:type="dxa" w:w="1100"/>
            <w:tcMar>
              <w:top w:type="dxa" w:w="60"/>
              <w:left w:type="dxa" w:w="90"/>
              <w:bottom w:type="dxa" w:w="60"/>
              <w:right w:type="dxa" w:w="90"/>
            </w:tcMar>
          </w:tcPr>
          <w:p>
            <w:pPr>
              <w:jc w:val="left"/>
            </w:pPr>
            <w:r>
              <w:rPr>
                <w:rFonts w:ascii="Calibri" w:cs="Calibri" w:eastAsia="Calibri" w:hAnsi="Calibri"/>
                <w:b w:val="false"/>
                <w:bCs w:val="false"/>
                <w:sz w:val="18"/>
                <w:szCs w:val="18"/>
              </w:rPr>
              <w:t xml:space="preserve">67,7 %</w:t>
            </w:r>
          </w:p>
        </w:tc>
        <w:tc>
          <w:tcPr>
            <w:tcW w:type="dxa" w:w="3926"/>
            <w:tcMar>
              <w:top w:type="dxa" w:w="60"/>
              <w:left w:type="dxa" w:w="90"/>
              <w:bottom w:type="dxa" w:w="60"/>
              <w:right w:type="dxa" w:w="90"/>
            </w:tcMar>
          </w:tcPr>
          <w:p>
            <w:pPr>
              <w:jc w:val="left"/>
            </w:pPr>
            <w:r>
              <w:rPr>
                <w:rFonts w:ascii="Calibri" w:cs="Calibri" w:eastAsia="Calibri" w:hAnsi="Calibri"/>
                <w:b w:val="false"/>
                <w:bCs w:val="false"/>
                <w:sz w:val="18"/>
                <w:szCs w:val="18"/>
              </w:rPr>
              <w:t xml:space="preserve">O não coberto são campos de desserialização sem lógica.</w:t>
            </w:r>
          </w:p>
        </w:tc>
      </w:tr>
      <w:tr>
        <w:tc>
          <w:tcPr>
            <w:tcW w:type="dxa" w:w="3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Visão computacional</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168/310</w:t>
            </w:r>
          </w:p>
        </w:tc>
        <w:tc>
          <w:tcPr>
            <w:tcW w:type="dxa" w:w="1100"/>
            <w:tcMar>
              <w:top w:type="dxa" w:w="60"/>
              <w:left w:type="dxa" w:w="90"/>
              <w:bottom w:type="dxa" w:w="60"/>
              <w:right w:type="dxa" w:w="90"/>
            </w:tcMar>
          </w:tcPr>
          <w:p>
            <w:pPr>
              <w:jc w:val="left"/>
            </w:pPr>
            <w:r>
              <w:rPr>
                <w:rFonts w:ascii="Calibri" w:cs="Calibri" w:eastAsia="Calibri" w:hAnsi="Calibri"/>
                <w:b w:val="false"/>
                <w:bCs w:val="false"/>
                <w:sz w:val="18"/>
                <w:szCs w:val="18"/>
              </w:rPr>
              <w:t xml:space="preserve">54,2 %</w:t>
            </w:r>
          </w:p>
        </w:tc>
        <w:tc>
          <w:tcPr>
            <w:tcW w:type="dxa" w:w="3926"/>
            <w:tcMar>
              <w:top w:type="dxa" w:w="60"/>
              <w:left w:type="dxa" w:w="90"/>
              <w:bottom w:type="dxa" w:w="60"/>
              <w:right w:type="dxa" w:w="90"/>
            </w:tcMar>
          </w:tcPr>
          <w:p>
            <w:pPr>
              <w:jc w:val="left"/>
            </w:pPr>
            <w:r>
              <w:rPr>
                <w:rFonts w:ascii="Calibri" w:cs="Calibri" w:eastAsia="Calibri" w:hAnsi="Calibri"/>
                <w:b w:val="false"/>
                <w:bCs w:val="false"/>
                <w:sz w:val="18"/>
                <w:szCs w:val="18"/>
              </w:rPr>
              <w:t xml:space="preserve">As classes puras estão em 100 %; o restante é MediaPipe, que exige câmera.</w:t>
            </w:r>
          </w:p>
        </w:tc>
      </w:tr>
      <w:tr>
        <w:tc>
          <w:tcPr>
            <w:tcW w:type="dxa" w:w="3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Apresentação — ViewModels e telas</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204/1.513</w:t>
            </w:r>
          </w:p>
        </w:tc>
        <w:tc>
          <w:tcPr>
            <w:tcW w:type="dxa" w:w="1100"/>
            <w:tcMar>
              <w:top w:type="dxa" w:w="60"/>
              <w:left w:type="dxa" w:w="90"/>
              <w:bottom w:type="dxa" w:w="60"/>
              <w:right w:type="dxa" w:w="90"/>
            </w:tcMar>
          </w:tcPr>
          <w:p>
            <w:pPr>
              <w:jc w:val="left"/>
            </w:pPr>
            <w:r>
              <w:rPr>
                <w:rFonts w:ascii="Calibri" w:cs="Calibri" w:eastAsia="Calibri" w:hAnsi="Calibri"/>
                <w:b w:val="false"/>
                <w:bCs w:val="false"/>
                <w:sz w:val="18"/>
                <w:szCs w:val="18"/>
              </w:rPr>
              <w:t xml:space="preserve">13,5 %</w:t>
            </w:r>
          </w:p>
        </w:tc>
        <w:tc>
          <w:tcPr>
            <w:tcW w:type="dxa" w:w="3926"/>
            <w:tcMar>
              <w:top w:type="dxa" w:w="60"/>
              <w:left w:type="dxa" w:w="90"/>
              <w:bottom w:type="dxa" w:w="60"/>
              <w:right w:type="dxa" w:w="90"/>
            </w:tcMar>
          </w:tcPr>
          <w:p>
            <w:pPr>
              <w:jc w:val="left"/>
            </w:pPr>
            <w:r>
              <w:rPr>
                <w:rFonts w:ascii="Calibri" w:cs="Calibri" w:eastAsia="Calibri" w:hAnsi="Calibri"/>
                <w:b w:val="false"/>
                <w:bCs w:val="false"/>
                <w:sz w:val="18"/>
                <w:szCs w:val="18"/>
              </w:rPr>
              <w:t xml:space="preserve">Os 4 ViewModels estão em 100 %; as 1.300 linhas restantes são Composables.</w:t>
            </w:r>
          </w:p>
        </w:tc>
      </w:tr>
      <w:tr>
        <w:tc>
          <w:tcPr>
            <w:tcW w:type="dxa" w:w="3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Autenticação OAuth</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6/132</w:t>
            </w:r>
          </w:p>
        </w:tc>
        <w:tc>
          <w:tcPr>
            <w:tcW w:type="dxa" w:w="1100"/>
            <w:tcMar>
              <w:top w:type="dxa" w:w="60"/>
              <w:left w:type="dxa" w:w="90"/>
              <w:bottom w:type="dxa" w:w="60"/>
              <w:right w:type="dxa" w:w="90"/>
            </w:tcMar>
          </w:tcPr>
          <w:p>
            <w:pPr>
              <w:jc w:val="left"/>
            </w:pPr>
            <w:r>
              <w:rPr>
                <w:rFonts w:ascii="Calibri" w:cs="Calibri" w:eastAsia="Calibri" w:hAnsi="Calibri"/>
                <w:b w:val="false"/>
                <w:bCs w:val="false"/>
                <w:sz w:val="18"/>
                <w:szCs w:val="18"/>
              </w:rPr>
              <w:t xml:space="preserve">4,5 %</w:t>
            </w:r>
          </w:p>
        </w:tc>
        <w:tc>
          <w:tcPr>
            <w:tcW w:type="dxa" w:w="3926"/>
            <w:tcMar>
              <w:top w:type="dxa" w:w="60"/>
              <w:left w:type="dxa" w:w="90"/>
              <w:bottom w:type="dxa" w:w="60"/>
              <w:right w:type="dxa" w:w="90"/>
            </w:tcMar>
          </w:tcPr>
          <w:p>
            <w:pPr>
              <w:jc w:val="left"/>
            </w:pPr>
            <w:r>
              <w:rPr>
                <w:rFonts w:ascii="Calibri" w:cs="Calibri" w:eastAsia="Calibri" w:hAnsi="Calibri"/>
                <w:b w:val="false"/>
                <w:bCs w:val="false"/>
                <w:sz w:val="18"/>
                <w:szCs w:val="18"/>
              </w:rPr>
              <w:t xml:space="preserve">Depende do Android Keystore; coberto por teste instrumentado.</w:t>
            </w:r>
          </w:p>
        </w:tc>
      </w:tr>
      <w:tr>
        <w:tc>
          <w:tcPr>
            <w:tcW w:type="dxa" w:w="3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Tema, navegação e injeção de dependência</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8"/>
                <w:szCs w:val="18"/>
              </w:rPr>
              <w:t xml:space="preserve">0/249</w:t>
            </w:r>
          </w:p>
        </w:tc>
        <w:tc>
          <w:tcPr>
            <w:tcW w:type="dxa" w:w="1100"/>
            <w:tcMar>
              <w:top w:type="dxa" w:w="60"/>
              <w:left w:type="dxa" w:w="90"/>
              <w:bottom w:type="dxa" w:w="60"/>
              <w:right w:type="dxa" w:w="90"/>
            </w:tcMar>
          </w:tcPr>
          <w:p>
            <w:pPr>
              <w:jc w:val="left"/>
            </w:pPr>
            <w:r>
              <w:rPr>
                <w:rFonts w:ascii="Calibri" w:cs="Calibri" w:eastAsia="Calibri" w:hAnsi="Calibri"/>
                <w:b w:val="false"/>
                <w:bCs w:val="false"/>
                <w:sz w:val="18"/>
                <w:szCs w:val="18"/>
              </w:rPr>
              <w:t xml:space="preserve">0 %</w:t>
            </w:r>
          </w:p>
        </w:tc>
        <w:tc>
          <w:tcPr>
            <w:tcW w:type="dxa" w:w="3926"/>
            <w:tcMar>
              <w:top w:type="dxa" w:w="60"/>
              <w:left w:type="dxa" w:w="90"/>
              <w:bottom w:type="dxa" w:w="60"/>
              <w:right w:type="dxa" w:w="90"/>
            </w:tcMar>
          </w:tcPr>
          <w:p>
            <w:pPr>
              <w:jc w:val="left"/>
            </w:pPr>
            <w:r>
              <w:rPr>
                <w:rFonts w:ascii="Calibri" w:cs="Calibri" w:eastAsia="Calibri" w:hAnsi="Calibri"/>
                <w:b w:val="false"/>
                <w:bCs w:val="false"/>
                <w:sz w:val="18"/>
                <w:szCs w:val="18"/>
              </w:rPr>
              <w:t xml:space="preserve">Declarações sem lógica — não há comportamento a verificar.</w:t>
            </w:r>
          </w:p>
        </w:tc>
      </w:tr>
    </w:tbl>
    <w:p>
      <w:pPr>
        <w:spacing w:after="120"/>
      </w:pPr>
      <w:r>
        <w:rPr>
          <w:rFonts w:ascii="Calibri" w:cs="Calibri" w:eastAsia="Calibri" w:hAnsi="Calibri"/>
          <w:sz w:val="20"/>
          <w:szCs w:val="20"/>
        </w:rPr>
        <w:t xml:space="preserve">As camadas que concentram a regra de negócio — domínio, dados e integração com o Spotify — estão em </w:t>
      </w:r>
      <w:r>
        <w:rPr>
          <w:rFonts w:ascii="Calibri" w:cs="Calibri" w:eastAsia="Calibri" w:hAnsi="Calibri"/>
          <w:b/>
          <w:bCs/>
          <w:color w:val="0F7A34"/>
          <w:sz w:val="20"/>
          <w:szCs w:val="20"/>
        </w:rPr>
        <w:t xml:space="preserve">100 %</w:t>
      </w:r>
      <w:r>
        <w:rPr>
          <w:rFonts w:ascii="Calibri" w:cs="Calibri" w:eastAsia="Calibri" w:hAnsi="Calibri"/>
          <w:sz w:val="20"/>
          <w:szCs w:val="20"/>
        </w:rPr>
        <w:t xml:space="preserve">. Esse é o resultado da decisão de arquitetura de manter o domínio sem dependência de Android.</w:t>
      </w:r>
    </w:p>
    <w:p>
      <w:pPr>
        <w:pStyle w:val="Heading3"/>
        <w:spacing w:after="140" w:before="280"/>
      </w:pPr>
      <w:r>
        <w:t xml:space="preserve">Classes com 100 % de cobertura de linhas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Camada</w:t>
            </w:r>
          </w:p>
        </w:tc>
        <w:tc>
          <w:tcPr>
            <w:tcW w:type="dxa" w:w="7326"/>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Classes</w:t>
            </w:r>
          </w:p>
        </w:tc>
      </w:tr>
      <w:tr>
        <w:tc>
          <w:tcPr>
            <w:tcW w:type="dxa" w:w="1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Domínio</w:t>
            </w:r>
          </w:p>
        </w:tc>
        <w:tc>
          <w:tcPr>
            <w:tcW w:type="dxa" w:w="7326"/>
            <w:tcMar>
              <w:top w:type="dxa" w:w="60"/>
              <w:left w:type="dxa" w:w="90"/>
              <w:bottom w:type="dxa" w:w="60"/>
              <w:right w:type="dxa" w:w="90"/>
            </w:tcMar>
          </w:tcPr>
          <w:p>
            <w:pPr>
              <w:jc w:val="left"/>
            </w:pPr>
            <w:r>
              <w:rPr>
                <w:rFonts w:ascii="Calibri" w:cs="Calibri" w:eastAsia="Calibri" w:hAnsi="Calibri"/>
                <w:b w:val="false"/>
                <w:bCs w:val="false"/>
                <w:sz w:val="18"/>
                <w:szCs w:val="18"/>
              </w:rPr>
              <w:t xml:space="preserve">CalibrationThresholdCalculator, CalibrationThresholds, Gesture, GestureDisplayNames, SpotifyAction</w:t>
            </w:r>
          </w:p>
        </w:tc>
      </w:tr>
      <w:tr>
        <w:tc>
          <w:tcPr>
            <w:tcW w:type="dxa" w:w="1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Dados</w:t>
            </w:r>
          </w:p>
        </w:tc>
        <w:tc>
          <w:tcPr>
            <w:tcW w:type="dxa" w:w="7326"/>
            <w:tcMar>
              <w:top w:type="dxa" w:w="60"/>
              <w:left w:type="dxa" w:w="90"/>
              <w:bottom w:type="dxa" w:w="60"/>
              <w:right w:type="dxa" w:w="90"/>
            </w:tcMar>
          </w:tcPr>
          <w:p>
            <w:pPr>
              <w:jc w:val="left"/>
            </w:pPr>
            <w:r>
              <w:rPr>
                <w:rFonts w:ascii="Calibri" w:cs="Calibri" w:eastAsia="Calibri" w:hAnsi="Calibri"/>
                <w:b w:val="false"/>
                <w:bCs w:val="false"/>
                <w:sz w:val="18"/>
                <w:szCs w:val="18"/>
              </w:rPr>
              <w:t xml:space="preserve">GestureMappingRepositoryImpl, GestureMappingEntity</w:t>
            </w:r>
          </w:p>
        </w:tc>
      </w:tr>
      <w:tr>
        <w:tc>
          <w:tcPr>
            <w:tcW w:type="dxa" w:w="1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Spotify</w:t>
            </w:r>
          </w:p>
        </w:tc>
        <w:tc>
          <w:tcPr>
            <w:tcW w:type="dxa" w:w="7326"/>
            <w:tcMar>
              <w:top w:type="dxa" w:w="60"/>
              <w:left w:type="dxa" w:w="90"/>
              <w:bottom w:type="dxa" w:w="60"/>
              <w:right w:type="dxa" w:w="90"/>
            </w:tcMar>
          </w:tcPr>
          <w:p>
            <w:pPr>
              <w:jc w:val="left"/>
            </w:pPr>
            <w:r>
              <w:rPr>
                <w:rFonts w:ascii="Calibri" w:cs="Calibri" w:eastAsia="Calibri" w:hAnsi="Calibri"/>
                <w:b w:val="false"/>
                <w:bCs w:val="false"/>
                <w:sz w:val="18"/>
                <w:szCs w:val="18"/>
              </w:rPr>
              <w:t xml:space="preserve">SpotifyCommandRepositoryImpl, SpotifyPlayerRepositoryImpl, PkceUtils, SpotifyTokens, AlbumItem, TrackItem</w:t>
            </w:r>
          </w:p>
        </w:tc>
      </w:tr>
      <w:tr>
        <w:tc>
          <w:tcPr>
            <w:tcW w:type="dxa" w:w="1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Visão</w:t>
            </w:r>
          </w:p>
        </w:tc>
        <w:tc>
          <w:tcPr>
            <w:tcW w:type="dxa" w:w="7326"/>
            <w:tcMar>
              <w:top w:type="dxa" w:w="60"/>
              <w:left w:type="dxa" w:w="90"/>
              <w:bottom w:type="dxa" w:w="60"/>
              <w:right w:type="dxa" w:w="90"/>
            </w:tcMar>
          </w:tcPr>
          <w:p>
            <w:pPr>
              <w:jc w:val="left"/>
            </w:pPr>
            <w:r>
              <w:rPr>
                <w:rFonts w:ascii="Calibri" w:cs="Calibri" w:eastAsia="Calibri" w:hAnsi="Calibri"/>
                <w:b w:val="false"/>
                <w:bCs w:val="false"/>
                <w:sz w:val="18"/>
                <w:szCs w:val="18"/>
              </w:rPr>
              <w:t xml:space="preserve">GestureClassifier, HeadGestureStabilizer, CaptureQualityEvaluator, CaptureIssue</w:t>
            </w:r>
          </w:p>
        </w:tc>
      </w:tr>
      <w:tr>
        <w:tc>
          <w:tcPr>
            <w:tcW w:type="dxa" w:w="1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Apresentação</w:t>
            </w:r>
          </w:p>
        </w:tc>
        <w:tc>
          <w:tcPr>
            <w:tcW w:type="dxa" w:w="7326"/>
            <w:tcMar>
              <w:top w:type="dxa" w:w="60"/>
              <w:left w:type="dxa" w:w="90"/>
              <w:bottom w:type="dxa" w:w="60"/>
              <w:right w:type="dxa" w:w="90"/>
            </w:tcMar>
          </w:tcPr>
          <w:p>
            <w:pPr>
              <w:jc w:val="left"/>
            </w:pPr>
            <w:r>
              <w:rPr>
                <w:rFonts w:ascii="Calibri" w:cs="Calibri" w:eastAsia="Calibri" w:hAnsi="Calibri"/>
                <w:b w:val="false"/>
                <w:bCs w:val="false"/>
                <w:sz w:val="18"/>
                <w:szCs w:val="18"/>
              </w:rPr>
              <w:t xml:space="preserve">LoginViewModel, HomeViewModel, GestureConfigViewModel, PlayerAtivoViewModel</w:t>
            </w:r>
          </w:p>
        </w:tc>
      </w:tr>
    </w:tbl>
    <w:p>
      <w:pPr>
        <w:spacing w:after="60" w:before="160"/>
        <w:jc w:val="center"/>
      </w:pPr>
      <w:r>
        <w:drawing>
          <wp:inline distT="0" distB="0" distL="0" distR="0">
            <wp:extent cx="5524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71825"/>
                    </a:xfrm>
                    <a:prstGeom prst="rect">
                      <a:avLst/>
                    </a:prstGeom>
                  </pic:spPr>
                </pic:pic>
              </a:graphicData>
            </a:graphic>
          </wp:inline>
        </w:drawing>
      </w:r>
    </w:p>
    <w:p>
      <w:pPr>
        <w:spacing w:after="220"/>
        <w:jc w:val="center"/>
      </w:pPr>
      <w:r>
        <w:rPr>
          <w:rFonts w:ascii="Calibri" w:cs="Calibri" w:eastAsia="Calibri" w:hAnsi="Calibri"/>
          <w:i/>
          <w:iCs/>
          <w:color w:val="555555"/>
          <w:sz w:val="17"/>
          <w:szCs w:val="17"/>
        </w:rPr>
        <w:t xml:space="preserve">Figura 1 — Relatório do Gradle: 186 testes, 0 falhas, 100 % de sucesso.</w:t>
      </w:r>
    </w:p>
    <w:p>
      <w:pPr>
        <w:spacing w:after="60" w:before="160"/>
        <w:jc w:val="center"/>
      </w:pPr>
      <w:r>
        <w:drawing>
          <wp:inline distT="0" distB="0" distL="0" distR="0">
            <wp:extent cx="5524500" cy="2543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543175"/>
                    </a:xfrm>
                    <a:prstGeom prst="rect">
                      <a:avLst/>
                    </a:prstGeom>
                  </pic:spPr>
                </pic:pic>
              </a:graphicData>
            </a:graphic>
          </wp:inline>
        </w:drawing>
      </w:r>
    </w:p>
    <w:p>
      <w:pPr>
        <w:spacing w:after="220"/>
        <w:jc w:val="center"/>
      </w:pPr>
      <w:r>
        <w:rPr>
          <w:rFonts w:ascii="Calibri" w:cs="Calibri" w:eastAsia="Calibri" w:hAnsi="Calibri"/>
          <w:i/>
          <w:iCs/>
          <w:color w:val="555555"/>
          <w:sz w:val="17"/>
          <w:szCs w:val="17"/>
        </w:rPr>
        <w:t xml:space="preserve">Figura 2 — Relatório de cobertura (Kover), com o detalhamento por pacote.</w:t>
      </w:r>
    </w:p>
    <w:p>
      <w:pPr>
        <w:pStyle w:val="Heading2"/>
        <w:spacing w:after="140" w:before="280"/>
      </w:pPr>
      <w:r>
        <w:t xml:space="preserve">Como reproduzir os indicadores</w:t>
      </w:r>
    </w:p>
    <w:p>
      <w:pPr>
        <w:shd w:fill="F2F4F7" w:val="clear"/>
        <w:spacing w:after="0" w:before="80"/>
      </w:pPr>
      <w:r>
        <w:rPr>
          <w:rFonts w:ascii="Consolas" w:cs="Consolas" w:eastAsia="Consolas" w:hAnsi="Consolas"/>
          <w:sz w:val="18"/>
          <w:szCs w:val="18"/>
        </w:rPr>
        <w:t xml:space="preserve">./gradlew test                     # taxa de sucesso</w:t>
      </w:r>
    </w:p>
    <w:p>
      <w:pPr>
        <w:shd w:fill="F2F4F7" w:val="clear"/>
        <w:spacing w:after="180" w:before="0"/>
      </w:pPr>
      <w:r>
        <w:rPr>
          <w:rFonts w:ascii="Consolas" w:cs="Consolas" w:eastAsia="Consolas" w:hAnsi="Consolas"/>
          <w:sz w:val="18"/>
          <w:szCs w:val="18"/>
        </w:rPr>
        <w:t xml:space="preserve">./gradlew koverHtmlReportDebug     # cobertura</w:t>
      </w:r>
    </w:p>
    <w:p>
      <w:pPr>
        <w:spacing w:after="120"/>
      </w:pPr>
      <w:r>
        <w:rPr>
          <w:rFonts w:ascii="Calibri" w:cs="Calibri" w:eastAsia="Calibri" w:hAnsi="Calibri"/>
          <w:sz w:val="20"/>
          <w:szCs w:val="20"/>
        </w:rPr>
        <w:t xml:space="preserve">Os relatórios são gerados em app/build/reports/tests/testDebugUnitTest/index.html e app/build/reports/kover/htmlDebug/index.html.</w:t>
      </w:r>
    </w:p>
    <w:p>
      <w:pPr>
        <w:pBdr>
          <w:left w:val="single" w:color="F0B400" w:sz="18" w:space="6"/>
        </w:pBdr>
        <w:shd w:fill="FFF8E1" w:val="clear"/>
        <w:spacing w:after="200" w:before="120"/>
      </w:pPr>
      <w:r>
        <w:rPr>
          <w:rFonts w:ascii="Calibri" w:cs="Calibri" w:eastAsia="Calibri" w:hAnsi="Calibri"/>
          <w:b/>
          <w:bCs/>
          <w:sz w:val="20"/>
          <w:szCs w:val="20"/>
        </w:rPr>
        <w:t xml:space="preserve">Limite declarado.</w:t>
      </w:r>
      <w:r>
        <w:rPr>
          <w:rFonts w:ascii="Calibri" w:cs="Calibri" w:eastAsia="Calibri" w:hAnsi="Calibri"/>
          <w:sz w:val="20"/>
          <w:szCs w:val="20"/>
        </w:rPr>
        <w:t xml:space="preserve"> O projeto tem ainda 84 testes instrumentados (33 de integração e 51 funcionais) que compilam, mas exigem aparelho ou emulador. Não entram nos indicadores acima — nenhum resultado foi presumido.</w:t>
      </w:r>
    </w:p>
    <w:p>
      <w:pPr>
        <w:pStyle w:val="Heading2"/>
        <w:spacing w:after="140" w:before="280"/>
      </w:pPr>
      <w:r>
        <w:t xml:space="preserve">Testes das principais funcionalidades</w:t>
      </w:r>
    </w:p>
    <w:p>
      <w:pPr>
        <w:spacing w:after="120"/>
      </w:pPr>
      <w:r>
        <w:rPr>
          <w:rFonts w:ascii="Calibri" w:cs="Calibri" w:eastAsia="Calibri" w:hAnsi="Calibri"/>
          <w:sz w:val="20"/>
          <w:szCs w:val="20"/>
        </w:rPr>
        <w:t xml:space="preserve">Para demonstração foi preparado um subconjunto de 61 testes em quatro classes, uma para cada etapa da jornada do usuário. Nenhum depende de rede, banco ou dispositivo: rodam na JVM e são determinísticos.</w:t>
      </w:r>
    </w:p>
    <w:p>
      <w:pPr>
        <w:shd w:fill="F2F4F7" w:val="clear"/>
        <w:spacing w:after="0" w:before="80"/>
      </w:pPr>
      <w:r>
        <w:rPr>
          <w:rFonts w:ascii="Consolas" w:cs="Consolas" w:eastAsia="Consolas" w:hAnsi="Consolas"/>
          <w:sz w:val="18"/>
          <w:szCs w:val="18"/>
        </w:rPr>
        <w:t xml:space="preserve">./gradlew testDebugUnitTest -Pdemo</w:t>
      </w:r>
    </w:p>
    <w:p>
      <w:pPr>
        <w:shd w:fill="F2F4F7" w:val="clear"/>
        <w:spacing w:after="180" w:before="0"/>
      </w:pPr>
      <w:r>
        <w:rPr>
          <w:rFonts w:ascii="Consolas" w:cs="Consolas" w:eastAsia="Consolas" w:hAnsi="Consolas"/>
          <w:sz w:val="18"/>
          <w:szCs w:val="18"/>
        </w:rPr>
        <w:t xml:space="preserve">BUILD SUCCESSFUL in 10s — 61 testes, 0 falhas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800"/>
        <w:gridCol w:w="700"/>
        <w:gridCol w:w="3626"/>
      </w:tblGrid>
      <w:tr>
        <w:trPr>
          <w:tblHeader/>
        </w:trPr>
        <w:tc>
          <w:tcPr>
            <w:tcW w:type="dxa" w:w="15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Etapa</w:t>
            </w:r>
          </w:p>
        </w:tc>
        <w:tc>
          <w:tcPr>
            <w:tcW w:type="dxa" w:w="24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Classe de teste</w:t>
            </w:r>
          </w:p>
        </w:tc>
        <w:tc>
          <w:tcPr>
            <w:tcW w:type="dxa" w:w="8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Testes</w:t>
            </w:r>
          </w:p>
        </w:tc>
        <w:tc>
          <w:tcPr>
            <w:tcW w:type="dxa" w:w="7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UC</w:t>
            </w:r>
          </w:p>
        </w:tc>
        <w:tc>
          <w:tcPr>
            <w:tcW w:type="dxa" w:w="3626"/>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O que demonstra</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1. Detectar o gesto</w:t>
            </w:r>
          </w:p>
        </w:tc>
        <w:tc>
          <w:tcPr>
            <w:tcW w:type="dxa" w:w="2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GestureClassifierTest</w:t>
            </w:r>
          </w:p>
        </w:tc>
        <w:tc>
          <w:tcPr>
            <w:tcW w:type="dxa" w:w="800"/>
            <w:tcMar>
              <w:top w:type="dxa" w:w="60"/>
              <w:left w:type="dxa" w:w="90"/>
              <w:bottom w:type="dxa" w:w="60"/>
              <w:right w:type="dxa" w:w="90"/>
            </w:tcMar>
          </w:tcPr>
          <w:p>
            <w:pPr>
              <w:jc w:val="left"/>
            </w:pPr>
            <w:r>
              <w:rPr>
                <w:rFonts w:ascii="Calibri" w:cs="Calibri" w:eastAsia="Calibri" w:hAnsi="Calibri"/>
                <w:b w:val="false"/>
                <w:bCs w:val="false"/>
                <w:sz w:val="18"/>
                <w:szCs w:val="18"/>
              </w:rPr>
              <w:t xml:space="preserve">15</w:t>
            </w:r>
          </w:p>
        </w:tc>
        <w:tc>
          <w:tcPr>
            <w:tcW w:type="dxa" w:w="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UC01</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Cada um dos nove gestos do vocabulário é reconhecido; a piscada tem prioridade sobre a pose; a polaridade invertida da câmera frontal é respeitada.</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2. Calibrar por usuário</w:t>
            </w:r>
          </w:p>
        </w:tc>
        <w:tc>
          <w:tcPr>
            <w:tcW w:type="dxa" w:w="2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CalibrationThresholdCalculatorTest</w:t>
            </w:r>
          </w:p>
        </w:tc>
        <w:tc>
          <w:tcPr>
            <w:tcW w:type="dxa" w:w="800"/>
            <w:tcMar>
              <w:top w:type="dxa" w:w="60"/>
              <w:left w:type="dxa" w:w="90"/>
              <w:bottom w:type="dxa" w:w="60"/>
              <w:right w:type="dxa" w:w="90"/>
            </w:tcMar>
          </w:tcPr>
          <w:p>
            <w:pPr>
              <w:jc w:val="left"/>
            </w:pPr>
            <w:r>
              <w:rPr>
                <w:rFonts w:ascii="Calibri" w:cs="Calibri" w:eastAsia="Calibri" w:hAnsi="Calibri"/>
                <w:b w:val="false"/>
                <w:bCs w:val="false"/>
                <w:sz w:val="18"/>
                <w:szCs w:val="18"/>
              </w:rPr>
              <w:t xml:space="preserve">11</w:t>
            </w:r>
          </w:p>
        </w:tc>
        <w:tc>
          <w:tcPr>
            <w:tcW w:type="dxa" w:w="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UC02</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Limiar em 75 % do pico medido, mínimo de segurança por eixo e polaridade aprendida — é o que adapta o sistema à amplitude de movimento de cada pessoa.</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3. Customizar o mapeamento</w:t>
            </w:r>
          </w:p>
        </w:tc>
        <w:tc>
          <w:tcPr>
            <w:tcW w:type="dxa" w:w="2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GestureConfigViewModelTest</w:t>
            </w:r>
          </w:p>
        </w:tc>
        <w:tc>
          <w:tcPr>
            <w:tcW w:type="dxa" w:w="800"/>
            <w:tcMar>
              <w:top w:type="dxa" w:w="60"/>
              <w:left w:type="dxa" w:w="90"/>
              <w:bottom w:type="dxa" w:w="60"/>
              <w:right w:type="dxa" w:w="90"/>
            </w:tcMar>
          </w:tcPr>
          <w:p>
            <w:pPr>
              <w:jc w:val="left"/>
            </w:pPr>
            <w:r>
              <w:rPr>
                <w:rFonts w:ascii="Calibri" w:cs="Calibri" w:eastAsia="Calibri" w:hAnsi="Calibri"/>
                <w:b w:val="false"/>
                <w:bCs w:val="false"/>
                <w:sz w:val="18"/>
                <w:szCs w:val="18"/>
              </w:rPr>
              <w:t xml:space="preserve">11</w:t>
            </w:r>
          </w:p>
        </w:tc>
        <w:tc>
          <w:tcPr>
            <w:tcW w:type="dxa" w:w="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UC03</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Os nove gestos são listados, a troca altera só a linha informada, “sem ação” é persistido como nulo e “restaurar padrões” é delegado ao repositório.</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sz w:val="18"/>
                <w:szCs w:val="18"/>
              </w:rPr>
              <w:t xml:space="preserve">4. Gesto vira comando</w:t>
            </w:r>
          </w:p>
        </w:tc>
        <w:tc>
          <w:tcPr>
            <w:tcW w:type="dxa" w:w="2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PlayerAtivoViewModelTest</w:t>
            </w:r>
          </w:p>
        </w:tc>
        <w:tc>
          <w:tcPr>
            <w:tcW w:type="dxa" w:w="800"/>
            <w:tcMar>
              <w:top w:type="dxa" w:w="60"/>
              <w:left w:type="dxa" w:w="90"/>
              <w:bottom w:type="dxa" w:w="60"/>
              <w:right w:type="dxa" w:w="90"/>
            </w:tcMar>
          </w:tcPr>
          <w:p>
            <w:pPr>
              <w:jc w:val="left"/>
            </w:pPr>
            <w:r>
              <w:rPr>
                <w:rFonts w:ascii="Calibri" w:cs="Calibri" w:eastAsia="Calibri" w:hAnsi="Calibri"/>
                <w:b w:val="false"/>
                <w:bCs w:val="false"/>
                <w:sz w:val="18"/>
                <w:szCs w:val="18"/>
              </w:rPr>
              <w:t xml:space="preserve">24</w:t>
            </w:r>
          </w:p>
        </w:tc>
        <w:tc>
          <w:tcPr>
            <w:tcW w:type="dxa" w:w="700"/>
            <w:tcMar>
              <w:top w:type="dxa" w:w="60"/>
              <w:left w:type="dxa" w:w="90"/>
              <w:bottom w:type="dxa" w:w="60"/>
              <w:right w:type="dxa" w:w="90"/>
            </w:tcMar>
          </w:tcPr>
          <w:p>
            <w:pPr>
              <w:jc w:val="left"/>
            </w:pPr>
            <w:r>
              <w:rPr>
                <w:rFonts w:ascii="Calibri" w:cs="Calibri" w:eastAsia="Calibri" w:hAnsi="Calibri"/>
                <w:b w:val="false"/>
                <w:bCs w:val="false"/>
                <w:sz w:val="18"/>
                <w:szCs w:val="18"/>
              </w:rPr>
              <w:t xml:space="preserve">UC01</w:t>
            </w:r>
          </w:p>
        </w:tc>
        <w:tc>
          <w:tcPr>
            <w:tcW w:type="dxa" w:w="3626"/>
            <w:tcMar>
              <w:top w:type="dxa" w:w="60"/>
              <w:left w:type="dxa" w:w="90"/>
              <w:bottom w:type="dxa" w:w="60"/>
              <w:right w:type="dxa" w:w="90"/>
            </w:tcMar>
          </w:tcPr>
          <w:p>
            <w:pPr>
              <w:jc w:val="left"/>
            </w:pPr>
            <w:r>
              <w:rPr>
                <w:rFonts w:ascii="Calibri" w:cs="Calibri" w:eastAsia="Calibri" w:hAnsi="Calibri"/>
                <w:b w:val="false"/>
                <w:bCs w:val="false"/>
                <w:sz w:val="18"/>
                <w:szCs w:val="18"/>
              </w:rPr>
              <w:t xml:space="preserve">O fluxo central do produto: o aceno toca e pausa, virar o rosto troca de faixa, inclinar ajusta o volume; gesto sem ação é ignorado; remapear em execução muda o comando disparado; 403 e 404 viram mensagem para o usuário.</w:t>
            </w:r>
          </w:p>
        </w:tc>
      </w:tr>
    </w:tbl>
    <w:p>
      <w:pPr>
        <w:pStyle w:val="Heading3"/>
        <w:spacing w:after="140" w:before="280"/>
      </w:pPr>
      <w:r>
        <w:t xml:space="preserve">Arquivos envolvidos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Etapa</w:t>
            </w:r>
          </w:p>
        </w:tc>
        <w:tc>
          <w:tcPr>
            <w:tcW w:type="dxa" w:w="3300"/>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Arquivo de teste</w:t>
            </w:r>
          </w:p>
        </w:tc>
        <w:tc>
          <w:tcPr>
            <w:tcW w:type="dxa" w:w="3326"/>
            <w:shd w:fill="DBE5F1" w:val="clear"/>
            <w:tcMar>
              <w:top w:type="dxa" w:w="60"/>
              <w:left w:type="dxa" w:w="90"/>
              <w:bottom w:type="dxa" w:w="60"/>
              <w:right w:type="dxa" w:w="90"/>
            </w:tcMar>
          </w:tcPr>
          <w:p>
            <w:pPr>
              <w:jc w:val="center"/>
            </w:pPr>
            <w:r>
              <w:rPr>
                <w:rFonts w:ascii="Calibri" w:cs="Calibri" w:eastAsia="Calibri" w:hAnsi="Calibri"/>
                <w:b/>
                <w:bCs/>
                <w:sz w:val="18"/>
                <w:szCs w:val="18"/>
              </w:rPr>
              <w:t xml:space="preserve">Código testado</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1. Detectar o gesto</w:t>
            </w:r>
          </w:p>
        </w:tc>
        <w:tc>
          <w:tcPr>
            <w:tcW w:type="dxa" w:w="3300"/>
            <w:tcMar>
              <w:top w:type="dxa" w:w="60"/>
              <w:left w:type="dxa" w:w="90"/>
              <w:bottom w:type="dxa" w:w="60"/>
              <w:right w:type="dxa" w:w="90"/>
            </w:tcMar>
          </w:tcPr>
          <w:p>
            <w:pPr>
              <w:jc w:val="left"/>
            </w:pPr>
            <w:r>
              <w:rPr>
                <w:rFonts w:ascii="Calibri" w:cs="Calibri" w:eastAsia="Calibri" w:hAnsi="Calibri"/>
                <w:b w:val="false"/>
                <w:bCs w:val="false"/>
                <w:sz w:val="18"/>
                <w:szCs w:val="18"/>
              </w:rPr>
              <w:t xml:space="preserve">vision/GestureClassifierTest.kt (211 linhas)</w:t>
            </w:r>
          </w:p>
        </w:tc>
        <w:tc>
          <w:tcPr>
            <w:tcW w:type="dxa" w:w="3326"/>
            <w:tcMar>
              <w:top w:type="dxa" w:w="60"/>
              <w:left w:type="dxa" w:w="90"/>
              <w:bottom w:type="dxa" w:w="60"/>
              <w:right w:type="dxa" w:w="90"/>
            </w:tcMar>
          </w:tcPr>
          <w:p>
            <w:pPr>
              <w:jc w:val="left"/>
            </w:pPr>
            <w:r>
              <w:rPr>
                <w:rFonts w:ascii="Calibri" w:cs="Calibri" w:eastAsia="Calibri" w:hAnsi="Calibri"/>
                <w:b w:val="false"/>
                <w:bCs w:val="false"/>
                <w:sz w:val="18"/>
                <w:szCs w:val="18"/>
              </w:rPr>
              <w:t xml:space="preserve">vision/GestureClassifier.kt (81 linhas)</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2. Calibrar por usuário</w:t>
            </w:r>
          </w:p>
        </w:tc>
        <w:tc>
          <w:tcPr>
            <w:tcW w:type="dxa" w:w="3300"/>
            <w:tcMar>
              <w:top w:type="dxa" w:w="60"/>
              <w:left w:type="dxa" w:w="90"/>
              <w:bottom w:type="dxa" w:w="60"/>
              <w:right w:type="dxa" w:w="90"/>
            </w:tcMar>
          </w:tcPr>
          <w:p>
            <w:pPr>
              <w:jc w:val="left"/>
            </w:pPr>
            <w:r>
              <w:rPr>
                <w:rFonts w:ascii="Calibri" w:cs="Calibri" w:eastAsia="Calibri" w:hAnsi="Calibri"/>
                <w:b w:val="false"/>
                <w:bCs w:val="false"/>
                <w:sz w:val="18"/>
                <w:szCs w:val="18"/>
              </w:rPr>
              <w:t xml:space="preserve">domain/gesture/CalibrationThresholdCalculatorTest.kt (133 linhas)</w:t>
            </w:r>
          </w:p>
        </w:tc>
        <w:tc>
          <w:tcPr>
            <w:tcW w:type="dxa" w:w="3326"/>
            <w:tcMar>
              <w:top w:type="dxa" w:w="60"/>
              <w:left w:type="dxa" w:w="90"/>
              <w:bottom w:type="dxa" w:w="60"/>
              <w:right w:type="dxa" w:w="90"/>
            </w:tcMar>
          </w:tcPr>
          <w:p>
            <w:pPr>
              <w:jc w:val="left"/>
            </w:pPr>
            <w:r>
              <w:rPr>
                <w:rFonts w:ascii="Calibri" w:cs="Calibri" w:eastAsia="Calibri" w:hAnsi="Calibri"/>
                <w:b w:val="false"/>
                <w:bCs w:val="false"/>
                <w:sz w:val="18"/>
                <w:szCs w:val="18"/>
              </w:rPr>
              <w:t xml:space="preserve">domain/gesture/CalibrationThresholdCalculator.kt (86 linhas)</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3. Customizar o mapeamento</w:t>
            </w:r>
          </w:p>
        </w:tc>
        <w:tc>
          <w:tcPr>
            <w:tcW w:type="dxa" w:w="3300"/>
            <w:tcMar>
              <w:top w:type="dxa" w:w="60"/>
              <w:left w:type="dxa" w:w="90"/>
              <w:bottom w:type="dxa" w:w="60"/>
              <w:right w:type="dxa" w:w="90"/>
            </w:tcMar>
          </w:tcPr>
          <w:p>
            <w:pPr>
              <w:jc w:val="left"/>
            </w:pPr>
            <w:r>
              <w:rPr>
                <w:rFonts w:ascii="Calibri" w:cs="Calibri" w:eastAsia="Calibri" w:hAnsi="Calibri"/>
                <w:b w:val="false"/>
                <w:bCs w:val="false"/>
                <w:sz w:val="18"/>
                <w:szCs w:val="18"/>
              </w:rPr>
              <w:t xml:space="preserve">ui/screens/GestureConfigViewModelTest.kt (223 linhas)</w:t>
            </w:r>
          </w:p>
        </w:tc>
        <w:tc>
          <w:tcPr>
            <w:tcW w:type="dxa" w:w="3326"/>
            <w:tcMar>
              <w:top w:type="dxa" w:w="60"/>
              <w:left w:type="dxa" w:w="90"/>
              <w:bottom w:type="dxa" w:w="60"/>
              <w:right w:type="dxa" w:w="90"/>
            </w:tcMar>
          </w:tcPr>
          <w:p>
            <w:pPr>
              <w:jc w:val="left"/>
            </w:pPr>
            <w:r>
              <w:rPr>
                <w:rFonts w:ascii="Calibri" w:cs="Calibri" w:eastAsia="Calibri" w:hAnsi="Calibri"/>
                <w:b w:val="false"/>
                <w:bCs w:val="false"/>
                <w:sz w:val="18"/>
                <w:szCs w:val="18"/>
              </w:rPr>
              <w:t xml:space="preserve">ui/screens/GestureConfigViewModel.kt (95 linhas)</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sz w:val="18"/>
                <w:szCs w:val="18"/>
              </w:rPr>
              <w:t xml:space="preserve">4. Gesto vira comando</w:t>
            </w:r>
          </w:p>
        </w:tc>
        <w:tc>
          <w:tcPr>
            <w:tcW w:type="dxa" w:w="3300"/>
            <w:tcMar>
              <w:top w:type="dxa" w:w="60"/>
              <w:left w:type="dxa" w:w="90"/>
              <w:bottom w:type="dxa" w:w="60"/>
              <w:right w:type="dxa" w:w="90"/>
            </w:tcMar>
          </w:tcPr>
          <w:p>
            <w:pPr>
              <w:jc w:val="left"/>
            </w:pPr>
            <w:r>
              <w:rPr>
                <w:rFonts w:ascii="Calibri" w:cs="Calibri" w:eastAsia="Calibri" w:hAnsi="Calibri"/>
                <w:b w:val="false"/>
                <w:bCs w:val="false"/>
                <w:sz w:val="18"/>
                <w:szCs w:val="18"/>
              </w:rPr>
              <w:t xml:space="preserve">ui/screens/PlayerAtivoViewModelTest.kt (485 linhas)</w:t>
            </w:r>
          </w:p>
        </w:tc>
        <w:tc>
          <w:tcPr>
            <w:tcW w:type="dxa" w:w="3326"/>
            <w:tcMar>
              <w:top w:type="dxa" w:w="60"/>
              <w:left w:type="dxa" w:w="90"/>
              <w:bottom w:type="dxa" w:w="60"/>
              <w:right w:type="dxa" w:w="90"/>
            </w:tcMar>
          </w:tcPr>
          <w:p>
            <w:pPr>
              <w:jc w:val="left"/>
            </w:pPr>
            <w:r>
              <w:rPr>
                <w:rFonts w:ascii="Calibri" w:cs="Calibri" w:eastAsia="Calibri" w:hAnsi="Calibri"/>
                <w:b w:val="false"/>
                <w:bCs w:val="false"/>
                <w:sz w:val="18"/>
                <w:szCs w:val="18"/>
              </w:rPr>
              <w:t xml:space="preserve">ui/screens/PlayerAtivoViewModel.kt (192 linhas)</w:t>
            </w:r>
          </w:p>
        </w:tc>
      </w:tr>
    </w:tbl>
    <w:p>
      <w:pPr>
        <w:spacing w:after="120"/>
      </w:pPr>
      <w:r>
        <w:rPr>
          <w:rFonts w:ascii="Calibri" w:cs="Calibri" w:eastAsia="Calibri" w:hAnsi="Calibri"/>
          <w:color w:val="555555"/>
          <w:sz w:val="18"/>
          <w:szCs w:val="18"/>
        </w:rPr>
        <w:t xml:space="preserve">Raiz dos caminhos: </w:t>
      </w:r>
      <w:r>
        <w:rPr>
          <w:rFonts w:ascii="Consolas" w:cs="Consolas" w:eastAsia="Consolas" w:hAnsi="Consolas"/>
          <w:sz w:val="17"/>
          <w:szCs w:val="17"/>
        </w:rPr>
        <w:t xml:space="preserve">app/src/test/java/com/sac/acessibilidade/</w:t>
      </w:r>
      <w:r>
        <w:rPr>
          <w:rFonts w:ascii="Calibri" w:cs="Calibri" w:eastAsia="Calibri" w:hAnsi="Calibri"/>
          <w:color w:val="555555"/>
          <w:sz w:val="18"/>
          <w:szCs w:val="18"/>
        </w:rPr>
        <w:t xml:space="preserve"> para os testes e </w:t>
      </w:r>
      <w:r>
        <w:rPr>
          <w:rFonts w:ascii="Consolas" w:cs="Consolas" w:eastAsia="Consolas" w:hAnsi="Consolas"/>
          <w:sz w:val="17"/>
          <w:szCs w:val="17"/>
        </w:rPr>
        <w:t xml:space="preserve">app/src/main/java/com/sac/acessibilidade/</w:t>
      </w:r>
      <w:r>
        <w:rPr>
          <w:rFonts w:ascii="Calibri" w:cs="Calibri" w:eastAsia="Calibri" w:hAnsi="Calibri"/>
          <w:color w:val="555555"/>
          <w:sz w:val="18"/>
          <w:szCs w:val="18"/>
        </w:rPr>
        <w:t xml:space="preserve"> para o código de produção.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11111"/>
      <w:sz w:val="30"/>
      <w:szCs w:val="30"/>
    </w:rPr>
  </w:style>
  <w:style w:type="paragraph" w:styleId="Heading2">
    <w:name w:val="Heading 2"/>
    <w:basedOn w:val="Normal"/>
    <w:next w:val="Normal"/>
    <w:qFormat/>
    <w:rPr>
      <w:rFonts w:ascii="Calibri" w:cs="Calibri" w:eastAsia="Calibri" w:hAnsi="Calibri"/>
      <w:b/>
      <w:bCs/>
      <w:color w:val="1a1a1a"/>
      <w:sz w:val="24"/>
      <w:szCs w:val="24"/>
    </w:rPr>
  </w:style>
  <w:style w:type="paragraph" w:styleId="Heading3">
    <w:name w:val="Heading 3"/>
    <w:basedOn w:val="Normal"/>
    <w:next w:val="Normal"/>
    <w:qFormat/>
    <w:rPr>
      <w:rFonts w:ascii="Calibri" w:cs="Calibri" w:eastAsia="Calibri" w:hAnsi="Calibri"/>
      <w:b/>
      <w:bCs/>
      <w:color w:val="33333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129df4bbab9f48c8b0176a79304b64a510a8d22.png"/><Relationship Id="rId8" Type="http://schemas.openxmlformats.org/officeDocument/2006/relationships/image" Target="media/07917c7309a65730bbe6fac841323016350ad8a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fonte e teste de unidade</dc:title>
  <dc:creator>Nodify</dc:creator>
  <cp:lastModifiedBy>Un-named</cp:lastModifiedBy>
  <cp:revision>1</cp:revision>
  <dcterms:created xsi:type="dcterms:W3CDTF">2026-10-09T23:27:34.871Z</dcterms:created>
  <dcterms:modified xsi:type="dcterms:W3CDTF">2026-10-09T23:27:34.872Z</dcterms:modified>
</cp:coreProperties>
</file>

<file path=docProps/custom.xml><?xml version="1.0" encoding="utf-8"?>
<Properties xmlns="http://schemas.openxmlformats.org/officeDocument/2006/custom-properties" xmlns:vt="http://schemas.openxmlformats.org/officeDocument/2006/docPropsVTypes"/>
</file>