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5D5A9E49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B.A. in Atmospheric Science</w:t>
      </w:r>
      <w:r w:rsidR="0018125E">
        <w:rPr>
          <w:rFonts w:ascii="Georgia" w:hAnsi="Georgia" w:cstheme="minorHAnsi"/>
          <w:sz w:val="21"/>
          <w:szCs w:val="21"/>
        </w:rPr>
        <w:t>, Departmental Honors</w:t>
      </w:r>
      <w:r w:rsidRPr="00BB09D4">
        <w:rPr>
          <w:rFonts w:ascii="Georgia" w:hAnsi="Georgia" w:cstheme="minorHAnsi"/>
          <w:sz w:val="21"/>
          <w:szCs w:val="21"/>
        </w:rPr>
        <w:t xml:space="preserve">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32ADA2ED" w:rsidR="00D434B9" w:rsidRPr="00BB09D4" w:rsidRDefault="0018125E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Senior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2640D537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 xml:space="preserve">Scientific </w:t>
      </w:r>
      <w:r w:rsidR="00774B7E">
        <w:rPr>
          <w:rFonts w:ascii="Georgia" w:hAnsi="Georgia" w:cstheme="minorHAnsi"/>
          <w:i/>
          <w:iCs/>
          <w:sz w:val="22"/>
          <w:szCs w:val="22"/>
        </w:rPr>
        <w:t>Developer</w:t>
      </w:r>
      <w:r>
        <w:rPr>
          <w:rFonts w:ascii="Georgia" w:hAnsi="Georgia" w:cstheme="minorHAnsi"/>
          <w:i/>
          <w:iCs/>
          <w:sz w:val="22"/>
          <w:szCs w:val="22"/>
        </w:rPr>
        <w:t xml:space="preserve">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</w:t>
      </w:r>
      <w:r w:rsidR="0042424F">
        <w:rPr>
          <w:rFonts w:ascii="Georgia" w:hAnsi="Georgia" w:cstheme="minorHAnsi"/>
          <w:sz w:val="22"/>
          <w:szCs w:val="22"/>
        </w:rPr>
        <w:t>4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79C975B6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2025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E5466" w:rsidRP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doi:10.1289/EHP13875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DC954" w14:textId="77777777" w:rsidR="00D00250" w:rsidRDefault="00D00250" w:rsidP="00A434B6">
      <w:r>
        <w:separator/>
      </w:r>
    </w:p>
  </w:endnote>
  <w:endnote w:type="continuationSeparator" w:id="0">
    <w:p w14:paraId="5FC81F1D" w14:textId="77777777" w:rsidR="00D00250" w:rsidRDefault="00D00250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A8BA" w14:textId="77777777" w:rsidR="00D00250" w:rsidRDefault="00D00250" w:rsidP="00A434B6">
      <w:r>
        <w:separator/>
      </w:r>
    </w:p>
  </w:footnote>
  <w:footnote w:type="continuationSeparator" w:id="0">
    <w:p w14:paraId="4B32C828" w14:textId="77777777" w:rsidR="00D00250" w:rsidRDefault="00D00250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A1423"/>
    <w:rsid w:val="000B2EDB"/>
    <w:rsid w:val="000B76C6"/>
    <w:rsid w:val="000D6081"/>
    <w:rsid w:val="00142C06"/>
    <w:rsid w:val="0016724C"/>
    <w:rsid w:val="0018125E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02FE7"/>
    <w:rsid w:val="003219C3"/>
    <w:rsid w:val="0033197C"/>
    <w:rsid w:val="003440EB"/>
    <w:rsid w:val="00344678"/>
    <w:rsid w:val="00347217"/>
    <w:rsid w:val="003518E1"/>
    <w:rsid w:val="0036632D"/>
    <w:rsid w:val="003802E0"/>
    <w:rsid w:val="00381E03"/>
    <w:rsid w:val="003E5466"/>
    <w:rsid w:val="003E5CCF"/>
    <w:rsid w:val="0042424F"/>
    <w:rsid w:val="00425B59"/>
    <w:rsid w:val="004439AA"/>
    <w:rsid w:val="00450ADA"/>
    <w:rsid w:val="00455018"/>
    <w:rsid w:val="004927FF"/>
    <w:rsid w:val="00541A14"/>
    <w:rsid w:val="005E0413"/>
    <w:rsid w:val="0060679C"/>
    <w:rsid w:val="00610A21"/>
    <w:rsid w:val="00633B72"/>
    <w:rsid w:val="006507B4"/>
    <w:rsid w:val="0069068C"/>
    <w:rsid w:val="006E6630"/>
    <w:rsid w:val="00740F08"/>
    <w:rsid w:val="00774B7E"/>
    <w:rsid w:val="00783C9C"/>
    <w:rsid w:val="007A2D92"/>
    <w:rsid w:val="007D008F"/>
    <w:rsid w:val="00856996"/>
    <w:rsid w:val="008649A3"/>
    <w:rsid w:val="0087502A"/>
    <w:rsid w:val="008811BE"/>
    <w:rsid w:val="00897FF9"/>
    <w:rsid w:val="008E574E"/>
    <w:rsid w:val="00902C7B"/>
    <w:rsid w:val="00910EE2"/>
    <w:rsid w:val="009417AC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A437D"/>
    <w:rsid w:val="00BB09D4"/>
    <w:rsid w:val="00C01A32"/>
    <w:rsid w:val="00C40614"/>
    <w:rsid w:val="00C85847"/>
    <w:rsid w:val="00C955E1"/>
    <w:rsid w:val="00CD7BA3"/>
    <w:rsid w:val="00D00250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5</cp:revision>
  <dcterms:created xsi:type="dcterms:W3CDTF">2024-11-28T20:24:00Z</dcterms:created>
  <dcterms:modified xsi:type="dcterms:W3CDTF">2025-01-24T18:00:00Z</dcterms:modified>
</cp:coreProperties>
</file>