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3E724" w14:textId="02227AE2" w:rsidR="00741B8F" w:rsidRPr="00741B8F" w:rsidRDefault="00741B8F" w:rsidP="00741B8F"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The overall aim of this study is to; with the help of computer/data scientist and machine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learning processes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741B8F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 325727954</w:t>
      </w:r>
    </w:p>
    <w:p w14:paraId="1DBBCD64" w14:textId="7FD0D33D" w:rsidR="00741B8F" w:rsidRDefault="00741B8F" w:rsidP="00741B8F"/>
    <w:p w14:paraId="692E7E21" w14:textId="45E349D7" w:rsidR="008D5680" w:rsidRDefault="00741B8F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The usual approach to calculating the sample size for a risk model is based on the rule of10; that is the investigators require 10 times as many (mortality) events as there are</w:t>
      </w:r>
      <w:r w:rsidR="00421E4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predictors in the model. Our models will have 5 </w:t>
      </w:r>
      <w:proofErr w:type="gramStart"/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>factors</w:t>
      </w:r>
      <w:proofErr w:type="gramEnd"/>
      <w:r w:rsidRPr="00741B8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so the investigators require 50events</w:t>
      </w:r>
      <w:r w:rsidR="00421E4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421E4B" w:rsidRPr="00421E4B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421E4B" w:rsidRPr="00421E4B">
        <w:rPr>
          <w:rFonts w:ascii="Verdana" w:hAnsi="Verdana"/>
          <w:color w:val="333333"/>
          <w:sz w:val="20"/>
          <w:szCs w:val="20"/>
          <w:shd w:val="clear" w:color="auto" w:fill="BFCFF1"/>
        </w:rPr>
        <w:t> 325728390</w:t>
      </w:r>
    </w:p>
    <w:p w14:paraId="3B948BDB" w14:textId="4CC626BA" w:rsidR="00F93285" w:rsidRDefault="00F9328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2C31C2F" w14:textId="514F7BEF" w:rsidR="00FD7C76" w:rsidRDefault="00F93285" w:rsidP="00FD7C76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Randomised trial evidence for selecting</w:t>
      </w:r>
      <w:r w:rsidR="006D6EA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patients suitable for accelerated induction regimes is not yet currently available and will</w:t>
      </w:r>
      <w:r w:rsidR="006D6EA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require large sample size to </w:t>
      </w:r>
      <w:proofErr w:type="gramStart"/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elucidate clearly</w:t>
      </w:r>
      <w:proofErr w:type="gramEnd"/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variables that predict the need for</w:t>
      </w:r>
      <w:r w:rsidR="006D6EA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F93285">
        <w:rPr>
          <w:rFonts w:ascii="Verdana" w:hAnsi="Verdana"/>
          <w:color w:val="333333"/>
          <w:sz w:val="20"/>
          <w:szCs w:val="20"/>
          <w:shd w:val="clear" w:color="auto" w:fill="BFCFF1"/>
        </w:rPr>
        <w:t>individual dosing strategies.</w:t>
      </w:r>
      <w:r w:rsidR="00FD7C76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FD7C76" w:rsidRPr="00FD7C76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FD7C76"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> 325728836</w:t>
      </w:r>
    </w:p>
    <w:p w14:paraId="7431D131" w14:textId="36334A19" w:rsidR="00FD7C76" w:rsidRDefault="00FD7C76" w:rsidP="00FD7C76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56B87CFD" w14:textId="77777777" w:rsidR="00D845A0" w:rsidRPr="00D845A0" w:rsidRDefault="00FD7C76" w:rsidP="00D845A0"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Defined as the total number of minutes standing and walking divided by the total number of valid measurement days in the period between inclusion and (intended) discharge. </w:t>
      </w:r>
      <w:proofErr w:type="gramStart"/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>In order to</w:t>
      </w:r>
      <w:proofErr w:type="gramEnd"/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create a </w:t>
      </w:r>
      <w:r w:rsidRPr="00FD7C76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prediction model</w:t>
      </w:r>
      <w:r w:rsidRPr="00FD7C76">
        <w:rPr>
          <w:rFonts w:ascii="Verdana" w:hAnsi="Verdana"/>
          <w:color w:val="333333"/>
          <w:sz w:val="20"/>
          <w:szCs w:val="20"/>
          <w:shd w:val="clear" w:color="auto" w:fill="BFCFF1"/>
        </w:rPr>
        <w:t>; this will be dichotomized into a low and high amount of time spent physically active per day during hospitalization</w:t>
      </w:r>
      <w:r w:rsidR="00D845A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D845A0" w:rsidRPr="00D845A0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D845A0"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> 325728851</w:t>
      </w:r>
    </w:p>
    <w:p w14:paraId="3331B449" w14:textId="53130468" w:rsidR="00FD7C76" w:rsidRDefault="00FD7C76" w:rsidP="00FD7C76"/>
    <w:p w14:paraId="7F413D6C" w14:textId="77777777" w:rsidR="00AD7773" w:rsidRPr="00AD7773" w:rsidRDefault="00D845A0" w:rsidP="00AD7773"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>Use correlation analysis or </w:t>
      </w:r>
      <w:r w:rsidRPr="00D845A0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machine learning</w:t>
      </w:r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methods to explore the formation trajectory </w:t>
      </w:r>
      <w:proofErr w:type="spellStart"/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>ofthe</w:t>
      </w:r>
      <w:proofErr w:type="spellEnd"/>
      <w:r w:rsidRPr="00D845A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double off-label pattern</w:t>
      </w:r>
      <w:r w:rsidR="00AD7773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AD7773" w:rsidRPr="00AD7773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AD7773" w:rsidRPr="00AD7773">
        <w:rPr>
          <w:rFonts w:ascii="Verdana" w:hAnsi="Verdana"/>
          <w:color w:val="333333"/>
          <w:sz w:val="20"/>
          <w:szCs w:val="20"/>
          <w:shd w:val="clear" w:color="auto" w:fill="BFCFF1"/>
        </w:rPr>
        <w:t> 325728987</w:t>
      </w:r>
    </w:p>
    <w:p w14:paraId="1564E082" w14:textId="79CF618F" w:rsidR="00D845A0" w:rsidRDefault="00D845A0" w:rsidP="00D845A0"/>
    <w:p w14:paraId="099497FC" w14:textId="43FE823B" w:rsidR="007075B5" w:rsidRDefault="00665A51" w:rsidP="007075B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Considering that the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enrolledsamples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may have 25% unusable cases; the minimum test group sample size was set to 100 </w:t>
      </w:r>
      <w:proofErr w:type="spellStart"/>
      <w:proofErr w:type="gram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cases.Positive</w:t>
      </w:r>
      <w:proofErr w:type="spellEnd"/>
      <w:proofErr w:type="gram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group 1; colorectal cancer stage I-IV; no need to allocate groups in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eachsub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-category. Considering balancing the number of samples between other groups; the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samplesize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is set to 300 </w:t>
      </w:r>
      <w:proofErr w:type="spellStart"/>
      <w:proofErr w:type="gram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cases.Positive</w:t>
      </w:r>
      <w:proofErr w:type="spellEnd"/>
      <w:proofErr w:type="gram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group 2; advanced adenoma; according to the Guidelines for the </w:t>
      </w:r>
      <w:r w:rsidRPr="00665A51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diagnosis</w:t>
      </w:r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 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andtreatment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of colorectal cancer; the advanced adenomas are divided into four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categories.There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is no need for equal distribution in different categories; with an average of 100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casesper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category; for a total of 400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cases.The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negative group is divided into three categories. Non-advanced adenomas need to </w:t>
      </w:r>
      <w:proofErr w:type="spellStart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>bedifferentiated</w:t>
      </w:r>
      <w:proofErr w:type="spellEnd"/>
      <w:r w:rsidRPr="00665A5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from positive adenomas in positive group 2; and need a minimum sample size of100 cases. Other categories do not require a specific sample size. </w:t>
      </w:r>
      <w:r w:rsidR="007075B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7075B5" w:rsidRPr="007075B5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7075B5" w:rsidRPr="007075B5">
        <w:rPr>
          <w:rFonts w:ascii="Verdana" w:hAnsi="Verdana"/>
          <w:color w:val="333333"/>
          <w:sz w:val="20"/>
          <w:szCs w:val="20"/>
          <w:shd w:val="clear" w:color="auto" w:fill="BFCFF1"/>
        </w:rPr>
        <w:t> 325728818</w:t>
      </w:r>
    </w:p>
    <w:p w14:paraId="15D6E295" w14:textId="6FBF3D1A" w:rsidR="006D4362" w:rsidRDefault="006D4362" w:rsidP="007075B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466D368" w14:textId="2B77D4DE" w:rsidR="002D17E2" w:rsidRDefault="006D4362" w:rsidP="002D17E2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Relatively simple clinical </w:t>
      </w:r>
      <w:r w:rsidRPr="006D4362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risk score</w:t>
      </w: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s based upon easily available clinical information can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greatly aid in the triaging of patients to early discharge or more rapid and intensive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6D4362">
        <w:rPr>
          <w:rFonts w:ascii="Verdana" w:hAnsi="Verdana"/>
          <w:color w:val="333333"/>
          <w:sz w:val="20"/>
          <w:szCs w:val="20"/>
          <w:shd w:val="clear" w:color="auto" w:fill="BFCFF1"/>
        </w:rPr>
        <w:t>intervention</w:t>
      </w:r>
      <w:r w:rsidR="002D17E2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2D17E2" w:rsidRPr="002D17E2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2D17E2" w:rsidRPr="002D17E2">
        <w:rPr>
          <w:rFonts w:ascii="Verdana" w:hAnsi="Verdana"/>
          <w:color w:val="333333"/>
          <w:sz w:val="20"/>
          <w:szCs w:val="20"/>
          <w:shd w:val="clear" w:color="auto" w:fill="BFCFF1"/>
        </w:rPr>
        <w:t> 325727964</w:t>
      </w:r>
    </w:p>
    <w:p w14:paraId="2F2E147A" w14:textId="15D45F45" w:rsidR="00BF4246" w:rsidRDefault="00BF4246" w:rsidP="002D17E2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217A51BE" w14:textId="562236D7" w:rsidR="00BF4246" w:rsidRPr="00BF4246" w:rsidRDefault="00BF4246" w:rsidP="00BF4246">
      <w:r w:rsidRPr="00BF4246">
        <w:rPr>
          <w:rFonts w:ascii="Verdana" w:hAnsi="Verdana"/>
          <w:b/>
          <w:bCs/>
          <w:color w:val="000000"/>
          <w:sz w:val="20"/>
          <w:szCs w:val="20"/>
          <w:shd w:val="clear" w:color="auto" w:fill="E0B0FF"/>
        </w:rPr>
        <w:t>Prognostication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E0B0FF"/>
        </w:rPr>
        <w:t xml:space="preserve"> </w:t>
      </w:r>
      <w:r w:rsidRPr="00BF4246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BF4246">
        <w:rPr>
          <w:rFonts w:ascii="Verdana" w:hAnsi="Verdana"/>
          <w:color w:val="333333"/>
          <w:sz w:val="20"/>
          <w:szCs w:val="20"/>
          <w:shd w:val="clear" w:color="auto" w:fill="BFCFF1"/>
        </w:rPr>
        <w:t> 325727974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– is this a word?!?!?!</w:t>
      </w:r>
    </w:p>
    <w:p w14:paraId="120DE54B" w14:textId="3509E281" w:rsidR="00DE0071" w:rsidRDefault="00DE0071" w:rsidP="00DE0071"/>
    <w:p w14:paraId="4B701A94" w14:textId="221F102E" w:rsidR="00F93224" w:rsidRDefault="00057438" w:rsidP="00F93224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the investigators guess that the evaluation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BFCFF1"/>
        </w:rPr>
        <w:t>ofultrasound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features based on </w:t>
      </w:r>
      <w:r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artificial intelligence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can make further breakthroughs </w:t>
      </w:r>
      <w:proofErr w:type="spellStart"/>
      <w:r>
        <w:rPr>
          <w:rFonts w:ascii="Verdana" w:hAnsi="Verdana"/>
          <w:color w:val="333333"/>
          <w:sz w:val="20"/>
          <w:szCs w:val="20"/>
          <w:shd w:val="clear" w:color="auto" w:fill="BFCFF1"/>
        </w:rPr>
        <w:t>indifficult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airway early warning systems</w:t>
      </w:r>
      <w:r w:rsidR="00F93224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F93224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F93224">
        <w:rPr>
          <w:rFonts w:ascii="Verdana" w:hAnsi="Verdana"/>
          <w:color w:val="333333"/>
          <w:sz w:val="20"/>
          <w:szCs w:val="20"/>
          <w:shd w:val="clear" w:color="auto" w:fill="BFCFF1"/>
        </w:rPr>
        <w:t> 325728093</w:t>
      </w:r>
    </w:p>
    <w:p w14:paraId="1CBC7201" w14:textId="046E5A2C" w:rsidR="00143075" w:rsidRDefault="00143075" w:rsidP="00F93224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227C216" w14:textId="790383C9" w:rsidR="00143075" w:rsidRDefault="00143075" w:rsidP="0014307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PRIMARY </w:t>
      </w:r>
      <w:proofErr w:type="spellStart"/>
      <w:proofErr w:type="gramStart"/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>OUTCOME:Textbook</w:t>
      </w:r>
      <w:proofErr w:type="spellEnd"/>
      <w:proofErr w:type="gramEnd"/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outcome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43075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43075">
        <w:rPr>
          <w:rFonts w:ascii="Verdana" w:hAnsi="Verdana"/>
          <w:color w:val="333333"/>
          <w:sz w:val="20"/>
          <w:szCs w:val="20"/>
          <w:shd w:val="clear" w:color="auto" w:fill="BFCFF1"/>
        </w:rPr>
        <w:t> 325727958</w:t>
      </w:r>
    </w:p>
    <w:p w14:paraId="16E3BE9E" w14:textId="3A146BF8" w:rsidR="006A608E" w:rsidRDefault="006A608E" w:rsidP="00143075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14D5BE70" w14:textId="21AE9CA6" w:rsidR="006A608E" w:rsidRDefault="006A608E" w:rsidP="006A608E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A608E">
        <w:rPr>
          <w:rFonts w:ascii="Verdana" w:hAnsi="Verdana"/>
          <w:color w:val="333333"/>
          <w:sz w:val="20"/>
          <w:szCs w:val="20"/>
          <w:shd w:val="clear" w:color="auto" w:fill="BFCFF1"/>
        </w:rPr>
        <w:t>This national Australian </w:t>
      </w:r>
      <w:r w:rsidRPr="006A608E">
        <w:rPr>
          <w:rFonts w:ascii="Verdana" w:hAnsi="Verdana"/>
          <w:color w:val="FFFFFF"/>
          <w:sz w:val="20"/>
          <w:szCs w:val="20"/>
          <w:shd w:val="clear" w:color="auto" w:fill="FF0000"/>
        </w:rPr>
        <w:t>study</w:t>
      </w:r>
      <w:r>
        <w:rPr>
          <w:rFonts w:ascii="Verdana" w:hAnsi="Verdana"/>
          <w:color w:val="FFFFFF"/>
          <w:sz w:val="20"/>
          <w:szCs w:val="20"/>
          <w:shd w:val="clear" w:color="auto" w:fill="FF0000"/>
        </w:rPr>
        <w:t xml:space="preserve"> </w:t>
      </w:r>
      <w:r w:rsidRPr="006A608E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6A608E">
        <w:rPr>
          <w:rFonts w:ascii="Verdana" w:hAnsi="Verdana"/>
          <w:color w:val="333333"/>
          <w:sz w:val="20"/>
          <w:szCs w:val="20"/>
          <w:shd w:val="clear" w:color="auto" w:fill="BFCFF1"/>
        </w:rPr>
        <w:t> 325728810</w:t>
      </w:r>
    </w:p>
    <w:p w14:paraId="42BC62D9" w14:textId="5028F0CE" w:rsidR="001A7A3C" w:rsidRDefault="001A7A3C" w:rsidP="006A608E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095C1BAB" w14:textId="37C26F75" w:rsidR="001A7A3C" w:rsidRDefault="001A7A3C" w:rsidP="001A7A3C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physicians urgently need a </w:t>
      </w:r>
      <w:r w:rsidRPr="001A7A3C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risk </w:t>
      </w:r>
      <w:proofErr w:type="spellStart"/>
      <w:r w:rsidRPr="001A7A3C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prediction</w:t>
      </w:r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model</w:t>
      </w:r>
      <w:proofErr w:type="spellEnd"/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with the combination of H. pylori infection and serum pepsinogen level to identify </w:t>
      </w:r>
      <w:proofErr w:type="spellStart"/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thehighest</w:t>
      </w:r>
      <w:proofErr w:type="spellEnd"/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-risk patients for endoscopic examination in the context of limited resources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A7A3C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A7A3C">
        <w:rPr>
          <w:rFonts w:ascii="Verdana" w:hAnsi="Verdana"/>
          <w:color w:val="333333"/>
          <w:sz w:val="20"/>
          <w:szCs w:val="20"/>
          <w:shd w:val="clear" w:color="auto" w:fill="BFCFF1"/>
        </w:rPr>
        <w:t> 325728811</w:t>
      </w:r>
    </w:p>
    <w:p w14:paraId="393AACCD" w14:textId="1B041163" w:rsidR="006445FD" w:rsidRDefault="006445FD" w:rsidP="001A7A3C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0094DF2D" w14:textId="3A6BC2DB" w:rsidR="005960FD" w:rsidRDefault="006445FD" w:rsidP="005960F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6445FD">
        <w:rPr>
          <w:rFonts w:ascii="Verdana" w:hAnsi="Verdana"/>
          <w:color w:val="333333"/>
          <w:sz w:val="20"/>
          <w:szCs w:val="20"/>
          <w:shd w:val="clear" w:color="auto" w:fill="BFCFF1"/>
        </w:rPr>
        <w:t>In a prospective cohort </w:t>
      </w:r>
      <w:r w:rsidRPr="006445FD">
        <w:rPr>
          <w:rFonts w:ascii="Verdana" w:hAnsi="Verdana"/>
          <w:color w:val="FFFFFF"/>
          <w:sz w:val="20"/>
          <w:szCs w:val="20"/>
          <w:shd w:val="clear" w:color="auto" w:fill="FF0000"/>
        </w:rPr>
        <w:t>study</w:t>
      </w:r>
      <w:r w:rsidRPr="006445FD">
        <w:rPr>
          <w:rFonts w:ascii="Verdana" w:hAnsi="Verdana"/>
          <w:color w:val="333333"/>
          <w:sz w:val="20"/>
          <w:szCs w:val="20"/>
          <w:shd w:val="clear" w:color="auto" w:fill="BFCFF1"/>
        </w:rPr>
        <w:t> (n = 1.000)</w:t>
      </w:r>
      <w:r w:rsidR="005960F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5960FD" w:rsidRPr="005960F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5960FD" w:rsidRPr="005960FD">
        <w:rPr>
          <w:rFonts w:ascii="Verdana" w:hAnsi="Verdana"/>
          <w:color w:val="333333"/>
          <w:sz w:val="20"/>
          <w:szCs w:val="20"/>
          <w:shd w:val="clear" w:color="auto" w:fill="BFCFF1"/>
        </w:rPr>
        <w:t> 325728328</w:t>
      </w:r>
    </w:p>
    <w:p w14:paraId="531F0E65" w14:textId="6978136D" w:rsidR="009D5B10" w:rsidRDefault="009D5B10" w:rsidP="005960F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D4B4A0F" w14:textId="5D646573" w:rsidR="009D5B10" w:rsidRDefault="009D5B10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Non-Gaussian </w:t>
      </w:r>
      <w:proofErr w:type="spellStart"/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distributedcontinuous</w:t>
      </w:r>
      <w:proofErr w:type="spellEnd"/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variables will be categorized as dichotomous variables.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9D5B10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 325728328</w:t>
      </w:r>
    </w:p>
    <w:p w14:paraId="6F94D96C" w14:textId="3C65EC9C" w:rsidR="009D5B10" w:rsidRDefault="009D5B10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7121CBD1" w14:textId="02CD525D" w:rsidR="009D5B10" w:rsidRDefault="009D5B10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A healthy volunteer arm was added in July 2020 - 40 </w:t>
      </w:r>
      <w:proofErr w:type="spellStart"/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particpants</w:t>
      </w:r>
      <w:proofErr w:type="spellEnd"/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9D5B10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9D5B10">
        <w:rPr>
          <w:rFonts w:ascii="Verdana" w:hAnsi="Verdana"/>
          <w:color w:val="333333"/>
          <w:sz w:val="20"/>
          <w:szCs w:val="20"/>
          <w:shd w:val="clear" w:color="auto" w:fill="BFCFF1"/>
        </w:rPr>
        <w:t> 325728253</w:t>
      </w:r>
    </w:p>
    <w:p w14:paraId="19DD5C68" w14:textId="5C2EB21C" w:rsidR="00021021" w:rsidRDefault="00021021" w:rsidP="009D5B10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29CBD8A9" w14:textId="0FA6DF47" w:rsidR="00327877" w:rsidRDefault="00021021" w:rsidP="00327877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Visualization can provide an overarching demonstration of how a model produces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its decisions across a dataset with known clinical and demographic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characteristics;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which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contributes to overall interpretability of the model's logic. Illustration is essential to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gain trust and to facilitate </w:t>
      </w:r>
      <w:r w:rsidRPr="00021021">
        <w:rPr>
          <w:rFonts w:ascii="Verdana" w:hAnsi="Verdana"/>
          <w:color w:val="000000"/>
          <w:sz w:val="20"/>
          <w:szCs w:val="20"/>
          <w:shd w:val="clear" w:color="auto" w:fill="90EE90"/>
        </w:rPr>
        <w:t>validation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 when clinicians rely on the model to assess a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particular instance for various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purposes;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including training or regulatory approval.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While training the AI system in previous work; the investigators excluded 5% of images </w:t>
      </w:r>
      <w:proofErr w:type="spell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thatwere</w:t>
      </w:r>
      <w:proofErr w:type="spell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rated by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the majority of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graders as not acceptable quality. For real-world </w:t>
      </w:r>
      <w:proofErr w:type="gramStart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use;</w:t>
      </w:r>
      <w:proofErr w:type="gramEnd"/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it</w:t>
      </w:r>
      <w:r w:rsid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will be important to balance imageability with </w:t>
      </w:r>
      <w:r w:rsidRPr="00021021">
        <w:rPr>
          <w:rFonts w:ascii="Verdana" w:hAnsi="Verdana"/>
          <w:b/>
          <w:bCs/>
          <w:color w:val="000000"/>
          <w:sz w:val="20"/>
          <w:szCs w:val="20"/>
          <w:shd w:val="clear" w:color="auto" w:fill="FFFF00"/>
        </w:rPr>
        <w:t>diagnostic</w:t>
      </w:r>
      <w:r w:rsidRPr="00021021">
        <w:rPr>
          <w:rFonts w:ascii="Verdana" w:hAnsi="Verdana"/>
          <w:color w:val="333333"/>
          <w:sz w:val="20"/>
          <w:szCs w:val="20"/>
          <w:shd w:val="clear" w:color="auto" w:fill="BFCFF1"/>
        </w:rPr>
        <w:t> performance. </w:t>
      </w:r>
      <w:r w:rsidR="00327877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327877" w:rsidRPr="00327877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327877" w:rsidRPr="00327877">
        <w:rPr>
          <w:rFonts w:ascii="Verdana" w:hAnsi="Verdana"/>
          <w:color w:val="333333"/>
          <w:sz w:val="20"/>
          <w:szCs w:val="20"/>
          <w:shd w:val="clear" w:color="auto" w:fill="BFCFF1"/>
        </w:rPr>
        <w:t> 325728263</w:t>
      </w:r>
    </w:p>
    <w:p w14:paraId="5D66DD90" w14:textId="4E4EC10B" w:rsidR="00330C1B" w:rsidRDefault="00330C1B" w:rsidP="00327877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62606845" w14:textId="3DBF978B" w:rsidR="00330C1B" w:rsidRDefault="00330C1B" w:rsidP="00330C1B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Principal Component analysis (PCA) will be performed </w:t>
      </w:r>
      <w:proofErr w:type="gram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in order to</w:t>
      </w:r>
      <w:proofErr w:type="gram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reducedata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dimensions and to evidence major trends. Mann-Whitney will be performed on PCs scores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toverify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differences statistically relevant between the analysed groups. Correlation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andpartial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correlation analysis will be performed using the Spearman's test; assuming as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validcorrelation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only the coefficients with a p-value lower than 0.05. </w:t>
      </w:r>
      <w:proofErr w:type="gram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Subsequently;</w:t>
      </w:r>
      <w:proofErr w:type="gram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principalcomponents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analysis (PCA) combined with linear discriminant analysis (LDA); PCA combined </w:t>
      </w:r>
      <w:proofErr w:type="spellStart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withsupport</w:t>
      </w:r>
      <w:proofErr w:type="spellEnd"/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vector machine (SVM); partial least squares-discriminant analysis (PLS-DA) and etc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330C1B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330C1B">
        <w:rPr>
          <w:rFonts w:ascii="Verdana" w:hAnsi="Verdana"/>
          <w:color w:val="333333"/>
          <w:sz w:val="20"/>
          <w:szCs w:val="20"/>
          <w:shd w:val="clear" w:color="auto" w:fill="BFCFF1"/>
        </w:rPr>
        <w:t> 325728373</w:t>
      </w:r>
    </w:p>
    <w:p w14:paraId="7A257879" w14:textId="0A8BB704" w:rsidR="00122B06" w:rsidRDefault="00122B06" w:rsidP="00330C1B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9FFF86A" w14:textId="77777777" w:rsidR="003A53D2" w:rsidRPr="003A53D2" w:rsidRDefault="00122B06" w:rsidP="003A53D2"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 </w:t>
      </w:r>
      <w:r w:rsidRPr="00122B06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prediction model</w:t>
      </w:r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 (</w:t>
      </w:r>
      <w:proofErr w:type="spellStart"/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LASSOmodel</w:t>
      </w:r>
      <w:proofErr w:type="spellEnd"/>
      <w:r w:rsidRPr="00122B06">
        <w:rPr>
          <w:rFonts w:ascii="Verdana" w:hAnsi="Verdana"/>
          <w:color w:val="333333"/>
          <w:sz w:val="20"/>
          <w:szCs w:val="20"/>
          <w:shd w:val="clear" w:color="auto" w:fill="BFCFF1"/>
        </w:rPr>
        <w:t>).</w:t>
      </w:r>
      <w:r w:rsidR="003A53D2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3A53D2" w:rsidRPr="003A53D2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3A53D2" w:rsidRPr="003A53D2">
        <w:rPr>
          <w:rFonts w:ascii="Verdana" w:hAnsi="Verdana"/>
          <w:color w:val="333333"/>
          <w:sz w:val="20"/>
          <w:szCs w:val="20"/>
          <w:shd w:val="clear" w:color="auto" w:fill="BFCFF1"/>
        </w:rPr>
        <w:t> 325728496</w:t>
      </w:r>
    </w:p>
    <w:p w14:paraId="02684EF0" w14:textId="32E3A4E0" w:rsidR="00122B06" w:rsidRPr="00122B06" w:rsidRDefault="003A53D2" w:rsidP="00122B06">
      <w:pPr>
        <w:rPr>
          <w:color w:val="FF0000"/>
        </w:rPr>
      </w:pPr>
      <w:r w:rsidRPr="003A53D2">
        <w:rPr>
          <w:color w:val="FF0000"/>
        </w:rPr>
        <w:t xml:space="preserve">I thought Lasso </w:t>
      </w:r>
      <w:r w:rsidR="00014CAB">
        <w:rPr>
          <w:color w:val="FF0000"/>
        </w:rPr>
        <w:t>sucked</w:t>
      </w:r>
    </w:p>
    <w:p w14:paraId="2CF8CE13" w14:textId="77777777" w:rsidR="00122B06" w:rsidRPr="00330C1B" w:rsidRDefault="00122B06" w:rsidP="00330C1B"/>
    <w:p w14:paraId="364694E9" w14:textId="7391A178" w:rsidR="001914BD" w:rsidRDefault="001914BD" w:rsidP="001914B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914BD">
        <w:rPr>
          <w:rFonts w:ascii="Verdana" w:hAnsi="Verdana"/>
          <w:color w:val="333333"/>
          <w:sz w:val="20"/>
          <w:szCs w:val="20"/>
          <w:shd w:val="clear" w:color="auto" w:fill="BFCFF1"/>
        </w:rPr>
        <w:t>No imputation to missing data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914B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914BD">
        <w:rPr>
          <w:rFonts w:ascii="Verdana" w:hAnsi="Verdana"/>
          <w:color w:val="333333"/>
          <w:sz w:val="20"/>
          <w:szCs w:val="20"/>
          <w:shd w:val="clear" w:color="auto" w:fill="BFCFF1"/>
        </w:rPr>
        <w:t> 325728541</w:t>
      </w:r>
    </w:p>
    <w:p w14:paraId="34EC6790" w14:textId="6C4DD999" w:rsidR="00E0799D" w:rsidRDefault="00E0799D" w:rsidP="001914B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007C1D9" w14:textId="1219E293" w:rsidR="00E0799D" w:rsidRDefault="00E0799D" w:rsidP="00E0799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The ultimate objective will be to achieve an AUC of at least 0.90. Such a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performance will allow us to build a Decision Support System based on these </w:t>
      </w:r>
      <w:r w:rsidRPr="00E0799D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predictive model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that provides information to physicians </w:t>
      </w:r>
      <w:proofErr w:type="gramStart"/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with regard to</w:t>
      </w:r>
      <w:proofErr w:type="gramEnd"/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probability of loco-regional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failure and overall survival in individual patients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E0799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E0799D">
        <w:rPr>
          <w:rFonts w:ascii="Verdana" w:hAnsi="Verdana"/>
          <w:color w:val="333333"/>
          <w:sz w:val="20"/>
          <w:szCs w:val="20"/>
          <w:shd w:val="clear" w:color="auto" w:fill="BFCFF1"/>
        </w:rPr>
        <w:t> 325728616</w:t>
      </w:r>
    </w:p>
    <w:p w14:paraId="0615D4E2" w14:textId="0E948D6A" w:rsidR="00142C2F" w:rsidRDefault="00142C2F" w:rsidP="00E0799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0E4D6C3A" w14:textId="1D1D68C4" w:rsidR="00142C2F" w:rsidRDefault="00142C2F" w:rsidP="00142C2F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In 2018; the </w:t>
      </w:r>
      <w:r w:rsidRPr="00142C2F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artificial intelligence</w:t>
      </w: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gastroscopy blind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spotmonitoring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model developed by the project team significantly reduced the endoscopy blind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spotin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randomized controlled clinical trials; the findings were published in the journal Gut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withan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impact factor of 17.94. In 2019; the team's </w:t>
      </w:r>
      <w:r w:rsidRPr="00142C2F">
        <w:rPr>
          <w:rFonts w:ascii="Verdana" w:hAnsi="Verdana"/>
          <w:b/>
          <w:bCs/>
          <w:color w:val="000000"/>
          <w:sz w:val="20"/>
          <w:szCs w:val="20"/>
          <w:shd w:val="clear" w:color="auto" w:fill="90EE90"/>
        </w:rPr>
        <w:t>artificial intelligence</w:t>
      </w: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model for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evaluatinggut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cleanliness; published in the journal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gastrogastrotestinal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endoscopy with an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impactfactor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of 7.23; showed better picture accuracy than that of the endoscopist in the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humancomputer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competition. In the same </w:t>
      </w:r>
      <w:proofErr w:type="gram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year;</w:t>
      </w:r>
      <w:proofErr w:type="gram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the project developed a model for colonoscopy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speedmonitoring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based on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Hasche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perception algorithm and a model for colonoscopy slide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mirrormonitoring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based on image classification; and conducted randomized controlled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clinicaltrials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; the model significantly improved The ability of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colonoscopists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to detect lesions; </w:t>
      </w:r>
      <w:proofErr w:type="spellStart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Thestudy</w:t>
      </w:r>
      <w:proofErr w:type="spellEnd"/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was published in The Lancet Gastroenterology 18 with an impact factor of 12.87.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142C2F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142C2F">
        <w:rPr>
          <w:rFonts w:ascii="Verdana" w:hAnsi="Verdana"/>
          <w:color w:val="333333"/>
          <w:sz w:val="20"/>
          <w:szCs w:val="20"/>
          <w:shd w:val="clear" w:color="auto" w:fill="BFCFF1"/>
        </w:rPr>
        <w:t> 325729014</w:t>
      </w:r>
    </w:p>
    <w:p w14:paraId="0C48E240" w14:textId="631C69D2" w:rsidR="00C03F0D" w:rsidRDefault="00C03F0D" w:rsidP="00142C2F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D5E66D8" w14:textId="285C77BD" w:rsidR="00C03F0D" w:rsidRDefault="00C03F0D" w:rsidP="00C03F0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A </w:t>
      </w:r>
      <w:proofErr w:type="gram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range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ofArtificial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Intelligence (AI) techniques</w:t>
      </w:r>
      <w:proofErr w:type="gram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have been applied to EHR data and have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demonstratedbetter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 </w:t>
      </w:r>
      <w:r w:rsidRPr="00C03F0D">
        <w:rPr>
          <w:rFonts w:ascii="Verdana" w:hAnsi="Verdana"/>
          <w:b/>
          <w:bCs/>
          <w:color w:val="000000"/>
          <w:sz w:val="20"/>
          <w:szCs w:val="20"/>
          <w:shd w:val="clear" w:color="auto" w:fill="FFFF00"/>
        </w:rPr>
        <w:t>diagnostic</w:t>
      </w: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 and </w:t>
      </w:r>
      <w:r w:rsidRPr="00C03F0D">
        <w:rPr>
          <w:rFonts w:ascii="Verdana" w:hAnsi="Verdana"/>
          <w:color w:val="000000"/>
          <w:sz w:val="20"/>
          <w:szCs w:val="20"/>
          <w:shd w:val="clear" w:color="auto" w:fill="90EE90"/>
        </w:rPr>
        <w:t>prediction</w:t>
      </w: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 power over traditional statistical approaches in large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scaleEHR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data.</w:t>
      </w:r>
      <w:r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Pr="00C03F0D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 325729025</w:t>
      </w:r>
    </w:p>
    <w:p w14:paraId="7E6A5C1B" w14:textId="515C7ED4" w:rsidR="00C03F0D" w:rsidRDefault="00C03F0D" w:rsidP="00C03F0D">
      <w:pPr>
        <w:rPr>
          <w:rFonts w:ascii="Verdana" w:hAnsi="Verdana"/>
          <w:color w:val="333333"/>
          <w:sz w:val="20"/>
          <w:szCs w:val="20"/>
          <w:shd w:val="clear" w:color="auto" w:fill="BFCFF1"/>
        </w:rPr>
      </w:pPr>
    </w:p>
    <w:p w14:paraId="38E81051" w14:textId="77777777" w:rsidR="00DC14E5" w:rsidRPr="00DC14E5" w:rsidRDefault="00C03F0D" w:rsidP="00DC14E5"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Deep learning technology has been used increasingly in spine surgery as well as in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manymedical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fields. </w:t>
      </w:r>
      <w:proofErr w:type="gram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However;</w:t>
      </w:r>
      <w:proofErr w:type="gram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it is noticed that most of the studies about this subject in </w:t>
      </w:r>
      <w:proofErr w:type="spellStart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>theliterature</w:t>
      </w:r>
      <w:proofErr w:type="spellEnd"/>
      <w:r w:rsidRPr="00C03F0D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have been conducted except of the cervical spine</w:t>
      </w:r>
      <w:r w:rsidR="00DC14E5">
        <w:rPr>
          <w:rFonts w:ascii="Verdana" w:hAnsi="Verdana"/>
          <w:color w:val="333333"/>
          <w:sz w:val="20"/>
          <w:szCs w:val="20"/>
          <w:shd w:val="clear" w:color="auto" w:fill="BFCFF1"/>
        </w:rPr>
        <w:t xml:space="preserve"> </w:t>
      </w:r>
      <w:r w:rsidR="00DC14E5" w:rsidRPr="00DC14E5">
        <w:rPr>
          <w:rFonts w:ascii="Verdana" w:hAnsi="Verdana"/>
          <w:b/>
          <w:bCs/>
          <w:color w:val="333333"/>
          <w:sz w:val="20"/>
          <w:szCs w:val="20"/>
          <w:shd w:val="clear" w:color="auto" w:fill="BFCFF1"/>
        </w:rPr>
        <w:t>System Id:</w:t>
      </w:r>
      <w:r w:rsidR="00DC14E5" w:rsidRPr="00DC14E5">
        <w:rPr>
          <w:rFonts w:ascii="Verdana" w:hAnsi="Verdana"/>
          <w:color w:val="333333"/>
          <w:sz w:val="20"/>
          <w:szCs w:val="20"/>
          <w:shd w:val="clear" w:color="auto" w:fill="BFCFF1"/>
        </w:rPr>
        <w:t> 325729068</w:t>
      </w:r>
    </w:p>
    <w:sectPr w:rsidR="00DC14E5" w:rsidRPr="00DC1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B8F"/>
    <w:rsid w:val="00014CAB"/>
    <w:rsid w:val="00021021"/>
    <w:rsid w:val="00057438"/>
    <w:rsid w:val="00122B06"/>
    <w:rsid w:val="00142C2F"/>
    <w:rsid w:val="00143075"/>
    <w:rsid w:val="001914BD"/>
    <w:rsid w:val="001A7A3C"/>
    <w:rsid w:val="002D17E2"/>
    <w:rsid w:val="00327877"/>
    <w:rsid w:val="00330C1B"/>
    <w:rsid w:val="003A53D2"/>
    <w:rsid w:val="00404B72"/>
    <w:rsid w:val="00421E4B"/>
    <w:rsid w:val="004F3018"/>
    <w:rsid w:val="005960FD"/>
    <w:rsid w:val="006445FD"/>
    <w:rsid w:val="00665A51"/>
    <w:rsid w:val="006A608E"/>
    <w:rsid w:val="006B0574"/>
    <w:rsid w:val="006D4362"/>
    <w:rsid w:val="006D6EAD"/>
    <w:rsid w:val="007075B5"/>
    <w:rsid w:val="00741B8F"/>
    <w:rsid w:val="0084476A"/>
    <w:rsid w:val="009D5B10"/>
    <w:rsid w:val="00AD7773"/>
    <w:rsid w:val="00BF4246"/>
    <w:rsid w:val="00C03F0D"/>
    <w:rsid w:val="00D845A0"/>
    <w:rsid w:val="00DC14E5"/>
    <w:rsid w:val="00DE0071"/>
    <w:rsid w:val="00E0799D"/>
    <w:rsid w:val="00F93224"/>
    <w:rsid w:val="00F93285"/>
    <w:rsid w:val="00FD7C76"/>
    <w:rsid w:val="00FF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0059D"/>
  <w15:chartTrackingRefBased/>
  <w15:docId w15:val="{2F35ABC1-ECF1-C944-8B87-4CF2B9E0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438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21E4B"/>
    <w:rPr>
      <w:color w:val="0000FF"/>
      <w:u w:val="single"/>
    </w:rPr>
  </w:style>
  <w:style w:type="character" w:customStyle="1" w:styleId="highlight">
    <w:name w:val="highlight"/>
    <w:basedOn w:val="DefaultParagraphFont"/>
    <w:rsid w:val="00FD7C76"/>
  </w:style>
  <w:style w:type="character" w:styleId="CommentReference">
    <w:name w:val="annotation reference"/>
    <w:basedOn w:val="DefaultParagraphFont"/>
    <w:uiPriority w:val="99"/>
    <w:semiHidden/>
    <w:unhideWhenUsed/>
    <w:rsid w:val="00DE00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0071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00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0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007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Borg</dc:creator>
  <cp:keywords/>
  <dc:description/>
  <cp:lastModifiedBy>David Borg</cp:lastModifiedBy>
  <cp:revision>20</cp:revision>
  <dcterms:created xsi:type="dcterms:W3CDTF">2022-08-01T22:40:00Z</dcterms:created>
  <dcterms:modified xsi:type="dcterms:W3CDTF">2022-08-18T21:42:00Z</dcterms:modified>
</cp:coreProperties>
</file>