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maxj4g05ed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Lato" w:cs="Lato" w:eastAsia="Lato" w:hAnsi="Lato"/>
          <w:b w:val="1"/>
          <w:bCs w:val="1"/>
          <w:color w:val="666666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666666"/>
          <w:sz w:val="32"/>
          <w:szCs w:val="32"/>
          <w:rtl w:val="0"/>
        </w:rPr>
        <w:t xml:space="preserve">Modelo de vistas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48"/>
          <w:szCs w:val="48"/>
          <w:rtl w:val="0"/>
        </w:rPr>
        <w:t xml:space="preserve">Arquitectura 4+1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Plantilla de documentación de arquitectura de software.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8.9999999999999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003f6c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3f6c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CultureGo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003f6c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3f6c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003f6c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3f6c"/>
                <w:rtl w:val="0"/>
              </w:rPr>
              <w:t xml:space="preserve">Autores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Benjamín González, Nicole Navarro y Diana Avila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003f6c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3f6c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19/08/26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003f6c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003f6c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En curso</w:t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32"/>
          <w:szCs w:val="32"/>
          <w:rtl w:val="0"/>
        </w:rPr>
        <w:t xml:space="preserve">Introducción al modelo 4+1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El modelo 4+1, propuesto por Philippe Kruchten, organiza la documentación de arquitectura de software en cinco vistas complementarias. Cuatro vistas describen el sistema desde distintas perspectivas técnicas, y una quinta vista (Escenarios) las conecta y valida a través de casos de uso concretos.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Cada vista responde preguntas distintas y está dirigida a interesados distintos. Juntas ofrecen una visión completa de la arquitectura sin sobrecargar un solo diagrama con toda la información.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Lato" w:cs="Lato" w:eastAsia="Lato" w:hAnsi="Lato"/>
          <w:color w:val="2980b9"/>
          <w:sz w:val="12"/>
          <w:szCs w:val="1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980b9"/>
          <w:rtl w:val="0"/>
        </w:rPr>
        <w:t xml:space="preserve">Las cinco vistas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003f6c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Vista</w:t>
            </w:r>
          </w:p>
        </w:tc>
        <w:tc>
          <w:tcPr>
            <w:shd w:fill="003f6c" w:val="clea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Enfoque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Lógica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Funcionalidad y modelo de dominio (clases, componentes)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Despliegue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Organización del código y módulos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Procesos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Concurrencia, comunicación y rendimiento en tiempo de ejecución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Fisica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Despliegue en hardware/infraestructura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Escenarios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Casos de uso que validan y conectan las 4 vistas</w:t>
            </w:r>
          </w:p>
        </w:tc>
      </w:tr>
    </w:tbl>
    <w:p w:rsidR="00000000" w:rsidDel="00000000" w:rsidP="00000000" w:rsidRDefault="00000000" w:rsidRPr="00000000" w14:paraId="00000047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Subtitle"/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bookmarkStart w:colFirst="0" w:colLast="0" w:name="_n5i7e7wv64i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Subtitle"/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bookmarkStart w:colFirst="0" w:colLast="0" w:name="_lvonpibgksyx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32"/>
          <w:szCs w:val="32"/>
          <w:rtl w:val="0"/>
        </w:rPr>
        <w:t xml:space="preserve">1. Vista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Propósito</w:t>
        <w:br w:type="textWrapping"/>
      </w:r>
      <w:r w:rsidDel="00000000" w:rsidR="00000000" w:rsidRPr="00000000">
        <w:rPr>
          <w:rFonts w:ascii="Lato" w:cs="Lato" w:eastAsia="Lato" w:hAnsi="Lato"/>
          <w:rtl w:val="0"/>
        </w:rPr>
        <w:t xml:space="preserve">Describe el diseño orientado a objetos o de dominio del sistema: las abstracciones clave, sus responsabilidades y cómo colaboran para entregar la funcionalidad requerida. Es la vista más cercana a los requisitos funcionales.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</w:rPr>
        <w:drawing>
          <wp:inline distB="114300" distT="114300" distL="114300" distR="114300">
            <wp:extent cx="5731200" cy="2603500"/>
            <wp:effectExtent b="0" l="0" r="0" t="0"/>
            <wp:docPr id="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Subtitle"/>
        <w:spacing w:line="240" w:lineRule="auto"/>
        <w:rPr/>
      </w:pPr>
      <w:bookmarkStart w:colFirst="0" w:colLast="0" w:name="_meraxb1i973a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32"/>
          <w:szCs w:val="32"/>
          <w:rtl w:val="0"/>
        </w:rPr>
        <w:t xml:space="preserve">2. Vista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Propósito</w:t>
        <w:br w:type="textWrapping"/>
      </w:r>
      <w:r w:rsidDel="00000000" w:rsidR="00000000" w:rsidRPr="00000000">
        <w:rPr>
          <w:rFonts w:ascii="Lato" w:cs="Lato" w:eastAsia="Lato" w:hAnsi="Lato"/>
          <w:rtl w:val="0"/>
        </w:rPr>
        <w:t xml:space="preserve">Describe los aspectos dinámicos y de concurrencia: procesos, hilos, comunicación entre ellos, sincronización y cómo se satisfacen requisitos no funcionales como rendimiento, disponibilidad y escalabilidad.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Diagrama</w:t>
      </w:r>
    </w:p>
    <w:p w:rsidR="00000000" w:rsidDel="00000000" w:rsidP="00000000" w:rsidRDefault="00000000" w:rsidRPr="00000000" w14:paraId="0000007C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CU-01 Registrar usuario</w:t>
      </w:r>
    </w:p>
    <w:p w:rsidR="00000000" w:rsidDel="00000000" w:rsidP="00000000" w:rsidRDefault="00000000" w:rsidRPr="00000000" w14:paraId="0000007D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50800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CU-01 Registrar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CU-02 Iniciar sesión</w:t>
      </w:r>
    </w:p>
    <w:p w:rsidR="00000000" w:rsidDel="00000000" w:rsidP="00000000" w:rsidRDefault="00000000" w:rsidRPr="00000000" w14:paraId="00000081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114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CU-02 Iniciar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CU-03 Recuperar contraseña</w:t>
      </w:r>
    </w:p>
    <w:p w:rsidR="00000000" w:rsidDel="00000000" w:rsidP="00000000" w:rsidRDefault="00000000" w:rsidRPr="00000000" w14:paraId="00000085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54356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CU-03 Recuperar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CU-04 Aceptar Términos y Condiciones</w:t>
      </w:r>
    </w:p>
    <w:p w:rsidR="00000000" w:rsidDel="00000000" w:rsidP="00000000" w:rsidRDefault="00000000" w:rsidRPr="00000000" w14:paraId="00000089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38608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CU-04 Aceptar Términos y 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CU-05 Visualizar perfil</w:t>
      </w:r>
    </w:p>
    <w:p w:rsidR="00000000" w:rsidDel="00000000" w:rsidP="00000000" w:rsidRDefault="00000000" w:rsidRPr="00000000" w14:paraId="0000008D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3606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CU-05 Visualizar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CU-06 Editar perfil</w:t>
      </w:r>
    </w:p>
    <w:p w:rsidR="00000000" w:rsidDel="00000000" w:rsidP="00000000" w:rsidRDefault="00000000" w:rsidRPr="00000000" w14:paraId="00000091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1148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CU-06 Editar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CU-07 Configurar cuenta</w:t>
      </w:r>
    </w:p>
    <w:p w:rsidR="00000000" w:rsidDel="00000000" w:rsidP="00000000" w:rsidRDefault="00000000" w:rsidRPr="00000000" w14:paraId="00000095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37592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CU-07 Configurar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CU-08 Eliminar cuenta</w:t>
      </w:r>
    </w:p>
    <w:p w:rsidR="00000000" w:rsidDel="00000000" w:rsidP="00000000" w:rsidRDefault="00000000" w:rsidRPr="00000000" w14:paraId="00000099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39624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CU-08 Eliminar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CU-09 Visualizar lugares turísticos</w:t>
      </w:r>
    </w:p>
    <w:p w:rsidR="00000000" w:rsidDel="00000000" w:rsidP="00000000" w:rsidRDefault="00000000" w:rsidRPr="00000000" w14:paraId="0000009D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5212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CU-09 Visualizar lugares turísticos.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CU-10 Buscar lugares turísticos</w:t>
      </w:r>
    </w:p>
    <w:p w:rsidR="00000000" w:rsidDel="00000000" w:rsidP="00000000" w:rsidRDefault="00000000" w:rsidRPr="00000000" w14:paraId="000000A1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3759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CU-10 Buscar lugares turísticos.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CU-11 Filtrar lugares por tipo de atractivo</w:t>
      </w:r>
    </w:p>
    <w:p w:rsidR="00000000" w:rsidDel="00000000" w:rsidP="00000000" w:rsidRDefault="00000000" w:rsidRPr="00000000" w14:paraId="000000A5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36068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CU-11 Filtrar lugares por tipo de atractivo.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CU-12 Filtrar lugares por comuna</w:t>
      </w:r>
    </w:p>
    <w:p w:rsidR="00000000" w:rsidDel="00000000" w:rsidP="00000000" w:rsidRDefault="00000000" w:rsidRPr="00000000" w14:paraId="000000A9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622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CU-12 Filtrar lugares por comuna.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CU-13 Filtrar lugares por gratuidad</w:t>
      </w:r>
    </w:p>
    <w:p w:rsidR="00000000" w:rsidDel="00000000" w:rsidP="00000000" w:rsidRDefault="00000000" w:rsidRPr="00000000" w14:paraId="000000AD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3505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CU-13 Filtrar lugares por gratuidad.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CU-14 Visualizar detalle de lugar turístico</w:t>
      </w:r>
    </w:p>
    <w:p w:rsidR="00000000" w:rsidDel="00000000" w:rsidP="00000000" w:rsidRDefault="00000000" w:rsidRPr="00000000" w14:paraId="000000B1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064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CU-14 Visualizar detalle de lugar turístico.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CU-15 Visualizar atractivos en el mapa</w:t>
      </w:r>
    </w:p>
    <w:p w:rsidR="00000000" w:rsidDel="00000000" w:rsidP="00000000" w:rsidRDefault="00000000" w:rsidRPr="00000000" w14:paraId="000000B5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5212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CU-15 Visualizar atractivos en el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CU-16 Filtrar atractivos en el mapa</w:t>
      </w:r>
    </w:p>
    <w:p w:rsidR="00000000" w:rsidDel="00000000" w:rsidP="00000000" w:rsidRDefault="00000000" w:rsidRPr="00000000" w14:paraId="000000B9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34036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CU-16 Filtrar atractivos en el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CU-17 Registrar visita</w:t>
      </w:r>
    </w:p>
    <w:p w:rsidR="00000000" w:rsidDel="00000000" w:rsidP="00000000" w:rsidRDefault="00000000" w:rsidRPr="00000000" w14:paraId="000000BD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54356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CU-17 Registrar visita.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CU-18 Obtener medallas</w:t>
      </w:r>
    </w:p>
    <w:p w:rsidR="00000000" w:rsidDel="00000000" w:rsidP="00000000" w:rsidRDefault="00000000" w:rsidRPr="00000000" w14:paraId="000000C1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6228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CU-18 Obtener medallas.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CU-19 Consultar visitas y medallas</w:t>
      </w:r>
    </w:p>
    <w:p w:rsidR="00000000" w:rsidDel="00000000" w:rsidP="00000000" w:rsidRDefault="00000000" w:rsidRPr="00000000" w14:paraId="000000C5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6736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CU-19 Consultar visitas y medallas.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CU-20 Reportar problema en un lugar</w:t>
      </w:r>
    </w:p>
    <w:p w:rsidR="00000000" w:rsidDel="00000000" w:rsidP="00000000" w:rsidRDefault="00000000" w:rsidRPr="00000000" w14:paraId="000000C9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114800"/>
            <wp:effectExtent b="0" l="0" r="0" t="0"/>
            <wp:docPr id="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CU-20 Reportar problema en un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CU-21 Sugerir nuevo lugar</w:t>
      </w:r>
    </w:p>
    <w:p w:rsidR="00000000" w:rsidDel="00000000" w:rsidP="00000000" w:rsidRDefault="00000000" w:rsidRPr="00000000" w14:paraId="000000CD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5212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CU-21 Sugerir nuevo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CU-22 Consultar mis tickets</w:t>
      </w:r>
    </w:p>
    <w:p w:rsidR="00000000" w:rsidDel="00000000" w:rsidP="00000000" w:rsidRDefault="00000000" w:rsidRPr="00000000" w14:paraId="000000D1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37592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CU-22 Consultar mis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CU-23 Iniciar sesión como administrador</w:t>
      </w:r>
    </w:p>
    <w:p w:rsidR="00000000" w:rsidDel="00000000" w:rsidP="00000000" w:rsidRDefault="00000000" w:rsidRPr="00000000" w14:paraId="000000D5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1148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CU-23 Iniciar sesión como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CU-24 Gestionar lugares turísticos</w:t>
      </w:r>
    </w:p>
    <w:p w:rsidR="00000000" w:rsidDel="00000000" w:rsidP="00000000" w:rsidRDefault="00000000" w:rsidRPr="00000000" w14:paraId="000000D9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978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CU-24 Gestionar lugares turísticos.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CU-25 Gestionar reportes</w:t>
      </w:r>
    </w:p>
    <w:p w:rsidR="00000000" w:rsidDel="00000000" w:rsidP="00000000" w:rsidRDefault="00000000" w:rsidRPr="00000000" w14:paraId="000000DD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3688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CU-25 Gestionar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Lines w:val="0"/>
        <w:spacing w:before="200" w:line="240" w:lineRule="auto"/>
        <w:rPr>
          <w:b w:val="1"/>
          <w:bCs w:val="1"/>
          <w:color w:val="3b6aa0"/>
          <w:sz w:val="24"/>
          <w:szCs w:val="24"/>
        </w:rPr>
      </w:pPr>
      <w:r w:rsidDel="00000000" w:rsidR="00000000" w:rsidRPr="00000000">
        <w:rPr>
          <w:b w:val="1"/>
          <w:bCs w:val="1"/>
          <w:color w:val="3b6aa0"/>
          <w:sz w:val="24"/>
          <w:szCs w:val="24"/>
          <w:rtl w:val="0"/>
        </w:rPr>
        <w:t xml:space="preserve">CU-26 Gestionar sugerencias</w:t>
      </w:r>
    </w:p>
    <w:p w:rsidR="00000000" w:rsidDel="00000000" w:rsidP="00000000" w:rsidRDefault="00000000" w:rsidRPr="00000000" w14:paraId="000000E1">
      <w:pPr>
        <w:spacing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45720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jc w:val="center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CU-26 Gestionar sugerencias.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32"/>
          <w:szCs w:val="32"/>
          <w:rtl w:val="0"/>
        </w:rPr>
        <w:t xml:space="preserve">3. Vista Física </w:t>
      </w:r>
    </w:p>
    <w:p w:rsidR="00000000" w:rsidDel="00000000" w:rsidP="00000000" w:rsidRDefault="00000000" w:rsidRPr="00000000" w14:paraId="000000F3">
      <w:pPr>
        <w:spacing w:line="240" w:lineRule="auto"/>
        <w:ind w:left="720" w:firstLine="0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Propósito</w:t>
        <w:br w:type="textWrapping"/>
      </w:r>
      <w:r w:rsidDel="00000000" w:rsidR="00000000" w:rsidRPr="00000000">
        <w:rPr>
          <w:rFonts w:ascii="Lato" w:cs="Lato" w:eastAsia="Lato" w:hAnsi="Lato"/>
          <w:rtl w:val="0"/>
        </w:rPr>
        <w:t xml:space="preserve">Describe la topología física: servidores, nodos, redes, zonas de disponibilidad y cómo se conectan entre sí, independientemente de qué software corre en cada uno. 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Diagrama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32"/>
          <w:szCs w:val="32"/>
        </w:rPr>
        <w:drawing>
          <wp:inline distB="114300" distT="114300" distL="114300" distR="114300">
            <wp:extent cx="5731200" cy="43053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32"/>
          <w:szCs w:val="32"/>
          <w:rtl w:val="0"/>
        </w:rPr>
        <w:t xml:space="preserve">4. Vista de Despliegue </w:t>
      </w:r>
    </w:p>
    <w:p w:rsidR="00000000" w:rsidDel="00000000" w:rsidP="00000000" w:rsidRDefault="00000000" w:rsidRPr="00000000" w14:paraId="00000105">
      <w:pPr>
        <w:spacing w:line="240" w:lineRule="auto"/>
        <w:ind w:left="720" w:firstLine="0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Propósito</w:t>
        <w:br w:type="textWrapping"/>
      </w:r>
      <w:r w:rsidDel="00000000" w:rsidR="00000000" w:rsidRPr="00000000">
        <w:rPr>
          <w:rFonts w:ascii="Lato" w:cs="Lato" w:eastAsia="Lato" w:hAnsi="Lato"/>
          <w:rtl w:val="0"/>
        </w:rPr>
        <w:t xml:space="preserve">Describe el mapeo de los componentes de software (servicios, contenedores, bases de datos) sobre la infraestructura física definida en la vista anterior. 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32"/>
          <w:szCs w:val="32"/>
        </w:rPr>
        <w:drawing>
          <wp:inline distB="114300" distT="114300" distL="114300" distR="114300">
            <wp:extent cx="5731200" cy="43434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Lato" w:cs="Lato" w:eastAsia="Lato" w:hAnsi="Lato"/>
          <w:b w:val="1"/>
          <w:bCs w:val="1"/>
          <w:color w:val="003f6c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32"/>
          <w:szCs w:val="32"/>
          <w:rtl w:val="0"/>
        </w:rPr>
        <w:t xml:space="preserve">5. Vista de Escenarios (+1) </w:t>
      </w:r>
    </w:p>
    <w:p w:rsidR="00000000" w:rsidDel="00000000" w:rsidP="00000000" w:rsidRDefault="00000000" w:rsidRPr="00000000" w14:paraId="00000117">
      <w:pPr>
        <w:spacing w:line="240" w:lineRule="auto"/>
        <w:ind w:left="720" w:firstLine="0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Propósito</w:t>
        <w:br w:type="textWrapping"/>
      </w:r>
      <w:r w:rsidDel="00000000" w:rsidR="00000000" w:rsidRPr="00000000">
        <w:rPr>
          <w:rFonts w:ascii="Lato" w:cs="Lato" w:eastAsia="Lato" w:hAnsi="Lato"/>
          <w:rtl w:val="0"/>
        </w:rPr>
        <w:t xml:space="preserve">Un conjunto reducido de escenarios (casos de uso) que ilustran cómo los elementos de las otras vistas trabajan juntos. Sirve como hilo conductor y como validación: si un escenario importante no puede explicarse con las otras vistas, la arquitectura tiene un vacío. 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Lato" w:cs="Lato" w:eastAsia="Lato" w:hAnsi="Lato"/>
          <w:b w:val="1"/>
          <w:bCs w:val="1"/>
          <w:color w:val="005693"/>
          <w:sz w:val="32"/>
          <w:szCs w:val="32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5693"/>
          <w:sz w:val="32"/>
          <w:szCs w:val="32"/>
          <w:rtl w:val="0"/>
        </w:rPr>
        <w:t xml:space="preserve">Diagrama</w:t>
      </w:r>
    </w:p>
    <w:p w:rsidR="00000000" w:rsidDel="00000000" w:rsidP="00000000" w:rsidRDefault="00000000" w:rsidRPr="00000000" w14:paraId="0000011B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2130" cy="6019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1. Cuenta y acceso (CU-01 a CU-08)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612130" cy="56896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0"/>
          <w:szCs w:val="20"/>
          <w:rtl w:val="0"/>
        </w:rPr>
        <w:br w:type="textWrapping"/>
        <w:t xml:space="preserve">Figura 2. Catálogo y mapa (CU-09 a CU-16)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2130" cy="55880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3. Gamificación y soporte (CU-17 a CU-22)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2130" cy="49276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4. Panel de administración (CU-23 a CU-26)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2.png"/><Relationship Id="rId21" Type="http://schemas.openxmlformats.org/officeDocument/2006/relationships/image" Target="media/image23.png"/><Relationship Id="rId24" Type="http://schemas.openxmlformats.org/officeDocument/2006/relationships/image" Target="media/image27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32.png"/><Relationship Id="rId25" Type="http://schemas.openxmlformats.org/officeDocument/2006/relationships/image" Target="media/image12.png"/><Relationship Id="rId28" Type="http://schemas.openxmlformats.org/officeDocument/2006/relationships/image" Target="media/image14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29" Type="http://schemas.openxmlformats.org/officeDocument/2006/relationships/image" Target="media/image16.png"/><Relationship Id="rId7" Type="http://schemas.openxmlformats.org/officeDocument/2006/relationships/image" Target="media/image5.png"/><Relationship Id="rId8" Type="http://schemas.openxmlformats.org/officeDocument/2006/relationships/image" Target="media/image1.png"/><Relationship Id="rId31" Type="http://schemas.openxmlformats.org/officeDocument/2006/relationships/image" Target="media/image18.png"/><Relationship Id="rId30" Type="http://schemas.openxmlformats.org/officeDocument/2006/relationships/image" Target="media/image10.png"/><Relationship Id="rId11" Type="http://schemas.openxmlformats.org/officeDocument/2006/relationships/image" Target="media/image19.png"/><Relationship Id="rId33" Type="http://schemas.openxmlformats.org/officeDocument/2006/relationships/image" Target="media/image33.png"/><Relationship Id="rId10" Type="http://schemas.openxmlformats.org/officeDocument/2006/relationships/image" Target="media/image24.png"/><Relationship Id="rId32" Type="http://schemas.openxmlformats.org/officeDocument/2006/relationships/image" Target="media/image20.png"/><Relationship Id="rId13" Type="http://schemas.openxmlformats.org/officeDocument/2006/relationships/image" Target="media/image25.png"/><Relationship Id="rId35" Type="http://schemas.openxmlformats.org/officeDocument/2006/relationships/image" Target="media/image15.png"/><Relationship Id="rId12" Type="http://schemas.openxmlformats.org/officeDocument/2006/relationships/image" Target="media/image21.png"/><Relationship Id="rId34" Type="http://schemas.openxmlformats.org/officeDocument/2006/relationships/image" Target="media/image28.png"/><Relationship Id="rId15" Type="http://schemas.openxmlformats.org/officeDocument/2006/relationships/image" Target="media/image9.png"/><Relationship Id="rId37" Type="http://schemas.openxmlformats.org/officeDocument/2006/relationships/image" Target="media/image17.png"/><Relationship Id="rId14" Type="http://schemas.openxmlformats.org/officeDocument/2006/relationships/image" Target="media/image29.png"/><Relationship Id="rId36" Type="http://schemas.openxmlformats.org/officeDocument/2006/relationships/image" Target="media/image26.png"/><Relationship Id="rId17" Type="http://schemas.openxmlformats.org/officeDocument/2006/relationships/image" Target="media/image13.png"/><Relationship Id="rId16" Type="http://schemas.openxmlformats.org/officeDocument/2006/relationships/image" Target="media/image6.png"/><Relationship Id="rId38" Type="http://schemas.openxmlformats.org/officeDocument/2006/relationships/image" Target="media/image11.png"/><Relationship Id="rId19" Type="http://schemas.openxmlformats.org/officeDocument/2006/relationships/image" Target="media/image2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