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Predicting NYC Housing Prices</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New York City is notoriously known for its expensive real estate market. Across the different boroughs you see a lot of diversity in in NYC is very diverse across the different boroughs and very dynamic from year to year. Our data is originally from the NYC Department of Finance’s record of </w:t>
      </w:r>
      <w:r w:rsidDel="00000000" w:rsidR="00000000" w:rsidRPr="00000000">
        <w:rPr>
          <w:sz w:val="21"/>
          <w:szCs w:val="21"/>
          <w:highlight w:val="white"/>
          <w:rtl w:val="0"/>
        </w:rPr>
        <w:t xml:space="preserve">properties sold in New York City from September 2016 to September 2017 and December 2017 to December 2018.</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Datasets</w:t>
      </w:r>
      <w:r w:rsidDel="00000000" w:rsidR="00000000" w:rsidRPr="00000000">
        <w:rPr>
          <w:rtl w:val="0"/>
        </w:rPr>
        <w:t xml:space="preserve">: </w:t>
      </w:r>
      <w:hyperlink r:id="rId6">
        <w:r w:rsidDel="00000000" w:rsidR="00000000" w:rsidRPr="00000000">
          <w:rPr>
            <w:color w:val="1155cc"/>
            <w:u w:val="single"/>
            <w:rtl w:val="0"/>
          </w:rPr>
          <w:t xml:space="preserve">https://www.kaggle.com/new-york-city/nyc-property-sales</w:t>
        </w:r>
      </w:hyperlink>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https://www1.nyc.gov/site/finance/taxes/property-rolling-sales-data.page</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Goal</w:t>
      </w:r>
      <w:r w:rsidDel="00000000" w:rsidR="00000000" w:rsidRPr="00000000">
        <w:rPr>
          <w:rtl w:val="0"/>
        </w:rPr>
        <w:t xml:space="preserv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Perform various regression analyses to predict housing prices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Identify factors that are most important to determining price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Learn Python packages and modeling techniques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Timeline</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March 8, 15: Exploratory Analysis</w:t>
      </w:r>
    </w:p>
    <w:p w:rsidR="00000000" w:rsidDel="00000000" w:rsidP="00000000" w:rsidRDefault="00000000" w:rsidRPr="00000000" w14:paraId="0000000F">
      <w:pPr>
        <w:rPr/>
      </w:pPr>
      <w:r w:rsidDel="00000000" w:rsidR="00000000" w:rsidRPr="00000000">
        <w:rPr>
          <w:rtl w:val="0"/>
        </w:rPr>
        <w:t xml:space="preserve">Deliverables: Tableau Visualizations, Correlations, Variable Distributions</w:t>
      </w:r>
    </w:p>
    <w:p w:rsidR="00000000" w:rsidDel="00000000" w:rsidP="00000000" w:rsidRDefault="00000000" w:rsidRPr="00000000" w14:paraId="00000010">
      <w:pPr>
        <w:rPr/>
      </w:pPr>
      <w:r w:rsidDel="00000000" w:rsidR="00000000" w:rsidRPr="00000000">
        <w:rPr>
          <w:rtl w:val="0"/>
        </w:rPr>
        <w:t xml:space="preserve">Troubleshooting: nested regression model to fill in missing square footage values, get longitude and latitude of addresses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March 22, 29: Classification Building</w:t>
      </w:r>
    </w:p>
    <w:p w:rsidR="00000000" w:rsidDel="00000000" w:rsidP="00000000" w:rsidRDefault="00000000" w:rsidRPr="00000000" w14:paraId="00000014">
      <w:pPr>
        <w:rPr/>
      </w:pPr>
      <w:r w:rsidDel="00000000" w:rsidR="00000000" w:rsidRPr="00000000">
        <w:rPr>
          <w:rtl w:val="0"/>
        </w:rPr>
        <w:t xml:space="preserve">Deliverables: Linear Regression, Random Forest Regression, Analyze Findings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April 5: Explore More Complex Models</w:t>
      </w:r>
    </w:p>
    <w:p w:rsidR="00000000" w:rsidDel="00000000" w:rsidP="00000000" w:rsidRDefault="00000000" w:rsidRPr="00000000" w14:paraId="00000017">
      <w:pPr>
        <w:rPr/>
      </w:pPr>
      <w:r w:rsidDel="00000000" w:rsidR="00000000" w:rsidRPr="00000000">
        <w:rPr>
          <w:rtl w:val="0"/>
        </w:rPr>
        <w:t xml:space="preserve">Deliverables: Ridge Regression, ElasticNet?, Neural Net,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April 12, 19: Model refinement and interpretation</w:t>
      </w:r>
    </w:p>
    <w:p w:rsidR="00000000" w:rsidDel="00000000" w:rsidP="00000000" w:rsidRDefault="00000000" w:rsidRPr="00000000" w14:paraId="0000001A">
      <w:pPr>
        <w:rPr/>
      </w:pPr>
      <w:r w:rsidDel="00000000" w:rsidR="00000000" w:rsidRPr="00000000">
        <w:rPr>
          <w:rtl w:val="0"/>
        </w:rPr>
        <w:t xml:space="preserve">Deliverables: Gridsearch, Visualizations of Learning Curves, ROC, Accuracy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April 26: Finalize</w:t>
      </w:r>
    </w:p>
    <w:p w:rsidR="00000000" w:rsidDel="00000000" w:rsidP="00000000" w:rsidRDefault="00000000" w:rsidRPr="00000000" w14:paraId="0000001D">
      <w:pPr>
        <w:rPr/>
      </w:pPr>
      <w:r w:rsidDel="00000000" w:rsidR="00000000" w:rsidRPr="00000000">
        <w:rPr>
          <w:rtl w:val="0"/>
        </w:rPr>
        <w:t xml:space="preserve">Deliverables: Slide Deck, Final Predictive 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May 3: Practice Presentation</w:t>
      </w:r>
      <w:r w:rsidDel="00000000" w:rsidR="00000000" w:rsidRPr="00000000">
        <w:drawing>
          <wp:anchor allowOverlap="1" behindDoc="0" distB="0" distT="0" distL="0" distR="0" hidden="0" layoutInCell="1" locked="0" relativeHeight="0" simplePos="0">
            <wp:simplePos x="0" y="0"/>
            <wp:positionH relativeFrom="column">
              <wp:posOffset>3820977</wp:posOffset>
            </wp:positionH>
            <wp:positionV relativeFrom="paragraph">
              <wp:posOffset>90488</wp:posOffset>
            </wp:positionV>
            <wp:extent cx="2122623" cy="1881188"/>
            <wp:effectExtent b="0" l="0" r="0" t="0"/>
            <wp:wrapSquare wrapText="bothSides" distB="0" distT="0" distL="0" distR="0"/>
            <wp:docPr descr="Image result for sold sign" id="1" name="image1.jpg"/>
            <a:graphic>
              <a:graphicData uri="http://schemas.openxmlformats.org/drawingml/2006/picture">
                <pic:pic>
                  <pic:nvPicPr>
                    <pic:cNvPr descr="Image result for sold sign" id="0" name="image1.jpg"/>
                    <pic:cNvPicPr preferRelativeResize="0"/>
                  </pic:nvPicPr>
                  <pic:blipFill>
                    <a:blip r:embed="rId8"/>
                    <a:srcRect b="0" l="0" r="22426" t="0"/>
                    <a:stretch>
                      <a:fillRect/>
                    </a:stretch>
                  </pic:blipFill>
                  <pic:spPr>
                    <a:xfrm>
                      <a:off x="0" y="0"/>
                      <a:ext cx="2122623" cy="1881188"/>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t xml:space="preserve">Deliverables: Practice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Meeting Times:</w:t>
      </w:r>
    </w:p>
    <w:p w:rsidR="00000000" w:rsidDel="00000000" w:rsidP="00000000" w:rsidRDefault="00000000" w:rsidRPr="00000000" w14:paraId="00000023">
      <w:pPr>
        <w:rPr/>
      </w:pPr>
      <w:r w:rsidDel="00000000" w:rsidR="00000000" w:rsidRPr="00000000">
        <w:rPr>
          <w:rtl w:val="0"/>
        </w:rPr>
        <w:t xml:space="preserve">Tuesdays - 6PM</w:t>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new-york-city/nyc-property-sales" TargetMode="External"/><Relationship Id="rId7" Type="http://schemas.openxmlformats.org/officeDocument/2006/relationships/hyperlink" Target="https://www1.nyc.gov/site/finance/taxes/property-rolling-sales-data.page"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