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3482" w14:textId="02C437FC" w:rsidR="001E7104" w:rsidRPr="001E7104" w:rsidRDefault="001E7104" w:rsidP="001E7104">
      <w:pPr>
        <w:rPr>
          <w:rFonts w:ascii="Times New Roman" w:hAnsi="Times New Roman" w:cs="Times New Roman"/>
          <w:b/>
          <w:bCs/>
        </w:rPr>
      </w:pPr>
      <w:r w:rsidRPr="001E7104">
        <w:rPr>
          <w:rFonts w:ascii="Times New Roman" w:hAnsi="Times New Roman" w:cs="Times New Roman"/>
          <w:b/>
          <w:bCs/>
        </w:rPr>
        <w:t>CONCLUSIÓN 1 — La Región Central domina el comercio</w:t>
      </w:r>
    </w:p>
    <w:p w14:paraId="71BA279B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  <w:b/>
          <w:bCs/>
        </w:rPr>
        <w:t>Respaldo visual:</w:t>
      </w:r>
      <w:r w:rsidRPr="001E7104">
        <w:rPr>
          <w:rFonts w:ascii="Times New Roman" w:hAnsi="Times New Roman" w:cs="Times New Roman"/>
        </w:rPr>
        <w:t xml:space="preserve"> </w:t>
      </w:r>
      <w:r w:rsidRPr="001E7104">
        <w:rPr>
          <w:rFonts w:ascii="Times New Roman" w:hAnsi="Times New Roman" w:cs="Times New Roman"/>
          <w:i/>
          <w:iCs/>
        </w:rPr>
        <w:t>Gráfico de Ventas por Región</w:t>
      </w:r>
    </w:p>
    <w:p w14:paraId="0D8E50FC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t>La Región Central concentra el mayor volumen de ventas, superando significativamente a las demás regiones. Este comportamiento sugiere que el consumo y la actividad comercial están fuertemente centralizados en departamentos como Cundinamarca.</w:t>
      </w:r>
    </w:p>
    <w:p w14:paraId="27C587C6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pict w14:anchorId="5B1D2C02">
          <v:rect id="_x0000_i1049" style="width:0;height:1.5pt" o:hralign="center" o:hrstd="t" o:hr="t" fillcolor="#a0a0a0" stroked="f"/>
        </w:pict>
      </w:r>
    </w:p>
    <w:p w14:paraId="5FF6818F" w14:textId="08F401AC" w:rsidR="001E7104" w:rsidRPr="001E7104" w:rsidRDefault="001E7104" w:rsidP="001E7104">
      <w:pPr>
        <w:rPr>
          <w:rFonts w:ascii="Times New Roman" w:hAnsi="Times New Roman" w:cs="Times New Roman"/>
          <w:b/>
          <w:bCs/>
        </w:rPr>
      </w:pPr>
      <w:r w:rsidRPr="001E7104">
        <w:rPr>
          <w:rFonts w:ascii="Times New Roman" w:hAnsi="Times New Roman" w:cs="Times New Roman"/>
          <w:b/>
          <w:bCs/>
        </w:rPr>
        <w:t>CONCLUSIÓN 2 — Tecnología es la categoría de IPC con mayor presión inflacionaria</w:t>
      </w:r>
    </w:p>
    <w:p w14:paraId="0ED5217F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  <w:b/>
          <w:bCs/>
        </w:rPr>
        <w:t>Respaldo visual:</w:t>
      </w:r>
      <w:r w:rsidRPr="001E7104">
        <w:rPr>
          <w:rFonts w:ascii="Times New Roman" w:hAnsi="Times New Roman" w:cs="Times New Roman"/>
        </w:rPr>
        <w:t xml:space="preserve"> </w:t>
      </w:r>
      <w:r w:rsidRPr="001E7104">
        <w:rPr>
          <w:rFonts w:ascii="Times New Roman" w:hAnsi="Times New Roman" w:cs="Times New Roman"/>
          <w:i/>
          <w:iCs/>
        </w:rPr>
        <w:t>Variación IPC por Categoría</w:t>
      </w:r>
    </w:p>
    <w:p w14:paraId="2172B0BF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t>La categoría Tecnología presenta la variación mensual más alta del IPC, lo que refleja un proceso inflacionario importante en ese sector. Esto puede impactar precios finales y decisiones de consumo.</w:t>
      </w:r>
    </w:p>
    <w:p w14:paraId="47F35E49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pict w14:anchorId="092E29FD">
          <v:rect id="_x0000_i1050" style="width:0;height:1.5pt" o:hralign="center" o:hrstd="t" o:hr="t" fillcolor="#a0a0a0" stroked="f"/>
        </w:pict>
      </w:r>
    </w:p>
    <w:p w14:paraId="5E74FA9F" w14:textId="19878C23" w:rsidR="001E7104" w:rsidRPr="001E7104" w:rsidRDefault="001E7104" w:rsidP="001E7104">
      <w:pPr>
        <w:rPr>
          <w:rFonts w:ascii="Times New Roman" w:hAnsi="Times New Roman" w:cs="Times New Roman"/>
          <w:b/>
          <w:bCs/>
        </w:rPr>
      </w:pPr>
      <w:r w:rsidRPr="001E7104">
        <w:rPr>
          <w:rFonts w:ascii="Times New Roman" w:hAnsi="Times New Roman" w:cs="Times New Roman"/>
          <w:b/>
          <w:bCs/>
        </w:rPr>
        <w:t>CONCLUSIÓN 3 — Cundinamarca es el departamento con mayor población proyectada</w:t>
      </w:r>
    </w:p>
    <w:p w14:paraId="48BF9960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  <w:b/>
          <w:bCs/>
        </w:rPr>
        <w:t>Respaldo visual:</w:t>
      </w:r>
      <w:r w:rsidRPr="001E7104">
        <w:rPr>
          <w:rFonts w:ascii="Times New Roman" w:hAnsi="Times New Roman" w:cs="Times New Roman"/>
        </w:rPr>
        <w:t xml:space="preserve"> </w:t>
      </w:r>
      <w:r w:rsidRPr="001E7104">
        <w:rPr>
          <w:rFonts w:ascii="Times New Roman" w:hAnsi="Times New Roman" w:cs="Times New Roman"/>
          <w:i/>
          <w:iCs/>
        </w:rPr>
        <w:t>Gráfico de Población / Mapa por departamento</w:t>
      </w:r>
    </w:p>
    <w:p w14:paraId="796BDC20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t>Cundinamarca concentra la mayor población proyectada, representando una oportunidad clave para estrategias de expansión comercial y segmentación de mercado.</w:t>
      </w:r>
    </w:p>
    <w:p w14:paraId="39E8B92D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pict w14:anchorId="4B0D798B">
          <v:rect id="_x0000_i1051" style="width:0;height:1.5pt" o:hralign="center" o:hrstd="t" o:hr="t" fillcolor="#a0a0a0" stroked="f"/>
        </w:pict>
      </w:r>
    </w:p>
    <w:p w14:paraId="3014CF70" w14:textId="2DA9CFD3" w:rsidR="001E7104" w:rsidRPr="001E7104" w:rsidRDefault="001E7104" w:rsidP="001E7104">
      <w:pPr>
        <w:rPr>
          <w:rFonts w:ascii="Times New Roman" w:hAnsi="Times New Roman" w:cs="Times New Roman"/>
          <w:b/>
          <w:bCs/>
        </w:rPr>
      </w:pPr>
      <w:r w:rsidRPr="001E7104">
        <w:rPr>
          <w:rFonts w:ascii="Times New Roman" w:hAnsi="Times New Roman" w:cs="Times New Roman"/>
          <w:b/>
          <w:bCs/>
        </w:rPr>
        <w:t>CONCLUSIÓN 4 — Las ventas muestran una tendencia creciente entre enero y marzo</w:t>
      </w:r>
    </w:p>
    <w:p w14:paraId="2966B83B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  <w:b/>
          <w:bCs/>
        </w:rPr>
        <w:t>Respaldo visual:</w:t>
      </w:r>
      <w:r w:rsidRPr="001E7104">
        <w:rPr>
          <w:rFonts w:ascii="Times New Roman" w:hAnsi="Times New Roman" w:cs="Times New Roman"/>
        </w:rPr>
        <w:t xml:space="preserve"> </w:t>
      </w:r>
      <w:r w:rsidRPr="001E7104">
        <w:rPr>
          <w:rFonts w:ascii="Times New Roman" w:hAnsi="Times New Roman" w:cs="Times New Roman"/>
          <w:i/>
          <w:iCs/>
        </w:rPr>
        <w:t>Tendencia mensual de ventas</w:t>
      </w:r>
    </w:p>
    <w:p w14:paraId="64B68048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t>La línea de tiempo evidencia una tendencia ascendente en las ventas durante el primer trimestre. Este comportamiento puede deberse a estacionalidad positiva o al aumento en la demanda postvacacional.</w:t>
      </w:r>
    </w:p>
    <w:p w14:paraId="4864239F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pict w14:anchorId="5EFCB0E5">
          <v:rect id="_x0000_i1052" style="width:0;height:1.5pt" o:hralign="center" o:hrstd="t" o:hr="t" fillcolor="#a0a0a0" stroked="f"/>
        </w:pict>
      </w:r>
    </w:p>
    <w:p w14:paraId="44B75FF5" w14:textId="3D2F80BB" w:rsidR="001E7104" w:rsidRPr="001E7104" w:rsidRDefault="001E7104" w:rsidP="001E7104">
      <w:pPr>
        <w:rPr>
          <w:rFonts w:ascii="Times New Roman" w:hAnsi="Times New Roman" w:cs="Times New Roman"/>
          <w:b/>
          <w:bCs/>
        </w:rPr>
      </w:pPr>
      <w:r w:rsidRPr="001E7104">
        <w:rPr>
          <w:rFonts w:ascii="Times New Roman" w:hAnsi="Times New Roman" w:cs="Times New Roman"/>
          <w:b/>
          <w:bCs/>
        </w:rPr>
        <w:t>CONCLUSIÓN 5 — El sector minorista presenta mayor volumen de ventas</w:t>
      </w:r>
    </w:p>
    <w:p w14:paraId="49E901A3" w14:textId="77777777" w:rsidR="001E7104" w:rsidRPr="001E7104" w:rsidRDefault="001E7104" w:rsidP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  <w:b/>
          <w:bCs/>
        </w:rPr>
        <w:t>Respaldo visual:</w:t>
      </w:r>
      <w:r w:rsidRPr="001E7104">
        <w:rPr>
          <w:rFonts w:ascii="Times New Roman" w:hAnsi="Times New Roman" w:cs="Times New Roman"/>
        </w:rPr>
        <w:t xml:space="preserve"> </w:t>
      </w:r>
      <w:r w:rsidRPr="001E7104">
        <w:rPr>
          <w:rFonts w:ascii="Times New Roman" w:hAnsi="Times New Roman" w:cs="Times New Roman"/>
          <w:i/>
          <w:iCs/>
        </w:rPr>
        <w:t>Ventas por Sector</w:t>
      </w:r>
    </w:p>
    <w:p w14:paraId="2D77A26F" w14:textId="144ADD03" w:rsidR="002A2FA0" w:rsidRPr="001E7104" w:rsidRDefault="001E7104">
      <w:pPr>
        <w:rPr>
          <w:rFonts w:ascii="Times New Roman" w:hAnsi="Times New Roman" w:cs="Times New Roman"/>
        </w:rPr>
      </w:pPr>
      <w:r w:rsidRPr="001E7104">
        <w:rPr>
          <w:rFonts w:ascii="Times New Roman" w:hAnsi="Times New Roman" w:cs="Times New Roman"/>
        </w:rPr>
        <w:t>El comercio minorista supera al mayorista en ventas totales, lo que indica una dinámica impulsada directamente por el consumidor final. Este patrón es clave para decisiones de inventario y posicionamiento de productos.</w:t>
      </w:r>
    </w:p>
    <w:sectPr w:rsidR="002A2FA0" w:rsidRPr="001E71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04"/>
    <w:rsid w:val="001E7104"/>
    <w:rsid w:val="002A2FA0"/>
    <w:rsid w:val="0078508A"/>
    <w:rsid w:val="00D7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D15F0"/>
  <w15:chartTrackingRefBased/>
  <w15:docId w15:val="{9D6C22BD-C1CF-4D62-8BBE-31C61A2E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1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1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1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1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1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1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1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1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1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1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Nicolle Mariana Ospina Marin</dc:creator>
  <cp:keywords/>
  <dc:description/>
  <cp:lastModifiedBy>Nicolle Mariana Ospina Marin</cp:lastModifiedBy>
  <cp:revision>1</cp:revision>
  <dcterms:created xsi:type="dcterms:W3CDTF">2025-11-20T00:15:00Z</dcterms:created>
  <dcterms:modified xsi:type="dcterms:W3CDTF">2025-11-20T00:18:00Z</dcterms:modified>
</cp:coreProperties>
</file>