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80"/>
          <w:tab w:val="left" w:pos="567" w:leader="none"/>
          <w:tab w:val="left" w:pos="2694" w:leader="none"/>
        </w:tabs>
        <w:rPr>
          <w:rFonts w:ascii="微軟正黑體" w:hAnsi="微軟正黑體" w:eastAsia="微軟正黑體" w:cs="微軟正黑體" w:hint="eastAsia"/>
          <w:b/>
          <w:bCs/>
          <w:color w:val="501549"/>
          <w:sz w:val="48"/>
          <w:szCs w:val="48"/>
          <w:u w:val="dotted"/>
        </w:rPr>
      </w:pPr>
      <w:r>
        <w:rPr>
          <w:rFonts w:ascii="微軟正黑體" w:hAnsi="微軟正黑體" w:cs="微軟正黑體" w:hint="eastAsia" w:eastAsia="微軟正黑體"/>
          <w:b/>
          <w:bCs/>
          <w:color w:val="501549"/>
          <w:sz w:val="48"/>
          <w:szCs w:val="48"/>
          <w:u w:val="dotted"/>
        </w:rPr>
        <w:t>《漢模拉比法典》的冷知識</w:t>
      </w:r>
    </w:p>
    <w:p>
      <w:pPr>
        <w:pStyle w:val="Normal"/>
        <w:rPr>
          <w:rFonts w:ascii="微軟正黑體" w:hAnsi="微軟正黑體" w:eastAsia="微軟正黑體" w:cs="微軟正黑體" w:hint="eastAsia"/>
          <w:b/>
          <w:bCs/>
          <w:color w:val="501549"/>
          <w:sz w:val="48"/>
          <w:szCs w:val="48"/>
          <w:u w:val="dotted"/>
        </w:rPr>
      </w:pPr>
      <w:r>
        <w:rPr>
          <w:rFonts w:eastAsia="微軟正黑體" w:cs="微軟正黑體" w:hint="eastAsia" w:ascii="微軟正黑體" w:hAnsi="微軟正黑體"/>
          <w:b/>
          <w:bCs/>
          <w:color w:val="501549"/>
          <w:sz w:val="48"/>
          <w:szCs w:val="48"/>
          <w:u w:val="dotted"/>
        </w:rPr>
      </w:r>
    </w:p>
    <w:tbl>
      <w:tblPr>
        <w:tblW w:w="9667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67"/>
      </w:tblGrid>
      <w:tr>
        <w:trPr/>
        <w:tc>
          <w:tcPr>
            <w:tcW w:w="9667" w:type="dxa"/>
            <w:tcBorders>
              <w:top w:val="dotDotDash" w:sz="12" w:space="0" w:color="501549"/>
              <w:start w:val="dotDotDash" w:sz="12" w:space="0" w:color="501549"/>
              <w:bottom w:val="dotDotDash" w:sz="12" w:space="0" w:color="501549"/>
              <w:end w:val="dotDotDash" w:sz="12" w:space="0" w:color="501549"/>
            </w:tcBorders>
            <w:shd w:fill="F9E7F6" w:val="clear"/>
          </w:tcPr>
          <w:p>
            <w:pPr>
              <w:pStyle w:val="Normal"/>
              <w:rPr>
                <w:lang w:eastAsia="zh-HK"/>
              </w:rPr>
            </w:pPr>
            <w:r>
              <w:rPr>
                <w:rFonts w:hint="eastAsia"/>
              </w:rPr>
              <w:t>本篇章與中一課題</w:t>
            </w:r>
            <w:r>
              <w:rPr>
                <w:rFonts w:cs="Times New Roman" w:ascii="Times New Roman" w:hAnsi="Times New Roman"/>
              </w:rPr>
              <w:t>1</w:t>
            </w:r>
            <w:r>
              <w:rPr>
                <w:rFonts w:hint="eastAsia"/>
              </w:rPr>
              <w:t>的「</w:t>
            </w:r>
            <w:r>
              <w:rPr>
                <w:rFonts w:cs="Times New Roman" w:ascii="Times New Roman" w:hAnsi="Times New Roman"/>
                <w:b/>
                <w:bCs/>
              </w:rPr>
              <w:t xml:space="preserve">III </w:t>
            </w:r>
            <w:r>
              <w:rPr>
                <w:rFonts w:ascii="Times New Roman" w:hAnsi="Times New Roman" w:cs="Times New Roman"/>
                <w:b/>
                <w:bCs/>
              </w:rPr>
              <w:t>古代主要文明的個案研習：新月沃土、尼羅河流域、印度河流域及黃河流域（四選一）</w:t>
            </w:r>
            <w:r>
              <w:rPr>
                <w:rFonts w:hint="eastAsia"/>
              </w:rPr>
              <w:t>」相關，可配合「</w:t>
            </w:r>
            <w:r>
              <w:rPr>
                <w:rFonts w:hint="eastAsia"/>
                <w:b/>
                <w:bCs/>
              </w:rPr>
              <w:t>新月沃土文明</w:t>
            </w:r>
            <w:r>
              <w:rPr>
                <w:rFonts w:hint="eastAsia"/>
              </w:rPr>
              <w:t>」中「</w:t>
            </w:r>
            <w:r>
              <w:rPr>
                <w:rFonts w:hint="eastAsia"/>
                <w:b/>
                <w:bCs/>
              </w:rPr>
              <w:t>新月沃土文明的特徵及成就</w:t>
            </w:r>
            <w:r>
              <w:rPr>
                <w:rFonts w:hint="eastAsia"/>
              </w:rPr>
              <w:t>」部分（</w:t>
            </w:r>
            <w:r>
              <w:rPr>
                <w:rFonts w:ascii="Times New Roman" w:hAnsi="Times New Roman" w:cs="Times New Roman"/>
              </w:rPr>
              <w:t>課本</w:t>
            </w:r>
            <w:r>
              <w:rPr>
                <w:rFonts w:cs="Times New Roman" w:ascii="Times New Roman" w:hAnsi="Times New Roman"/>
              </w:rPr>
              <w:t>1</w:t>
            </w:r>
            <w:r>
              <w:rPr>
                <w:rFonts w:ascii="Times New Roman" w:hAnsi="Times New Roman" w:cs="Times New Roman"/>
              </w:rPr>
              <w:t>上，頁</w:t>
            </w:r>
            <w:r>
              <w:rPr>
                <w:rFonts w:cs="Times New Roman" w:hint="eastAsia" w:ascii="Times New Roman" w:hAnsi="Times New Roman"/>
              </w:rPr>
              <w:t>29-41</w:t>
            </w:r>
            <w:r>
              <w:rPr>
                <w:rFonts w:hint="eastAsia"/>
              </w:rPr>
              <w:t>）使用。</w:t>
            </w:r>
          </w:p>
        </w:tc>
      </w:tr>
    </w:tbl>
    <w:p>
      <w:pPr>
        <w:pStyle w:val="Normal"/>
        <w:jc w:val="center"/>
        <w:rPr>
          <w:lang w:eastAsia="zh-HK"/>
        </w:rPr>
      </w:pPr>
      <w:r>
        <w:rPr>
          <w:lang w:eastAsia="zh-HK"/>
        </w:rPr>
      </w:r>
    </w:p>
    <w:p>
      <w:pPr>
        <w:pStyle w:val="Normal"/>
        <w:jc w:val="center"/>
        <w:rPr>
          <w:rFonts w:hint="eastAsia"/>
          <w:lang w:eastAsia="zh-HK"/>
        </w:rPr>
      </w:pPr>
      <w:r>
        <w:rPr>
          <w:lang w:eastAsia="zh-HK"/>
        </w:rPr>
        <w:drawing>
          <wp:inline distT="0" distB="0" distL="0" distR="0">
            <wp:extent cx="5274945" cy="3123565"/>
            <wp:effectExtent l="0" t="0" r="0" b="0"/>
            <wp:docPr id="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123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究竟世界上是否有「以牙還牙、以眼還眼」的刑罰？</w:t>
      </w:r>
      <w:r>
        <w:rPr>
          <w:rFonts w:hint="eastAsia"/>
          <w:lang w:eastAsia="zh-HK"/>
        </w:rPr>
        <w:t>2008</w:t>
      </w:r>
      <w:r>
        <w:rPr>
          <w:rFonts w:hint="eastAsia"/>
          <w:lang w:eastAsia="zh-HK"/>
        </w:rPr>
        <w:t>年，伊朗一名婦女在被潑酸導致眼盲後，法庭首次宣告對加害人採取伊斯蘭律法的「以眼還眼」制裁，即被判刑的男子必須以強酸弄瞎自己的雙眼。伊朗更在</w:t>
      </w:r>
      <w:r>
        <w:rPr>
          <w:rFonts w:hint="eastAsia"/>
          <w:lang w:eastAsia="zh-HK"/>
        </w:rPr>
        <w:t>2015</w:t>
      </w:r>
      <w:r>
        <w:rPr>
          <w:rFonts w:hint="eastAsia"/>
          <w:lang w:eastAsia="zh-HK"/>
        </w:rPr>
        <w:t>年首次執行此刑法，自此成為該國一項嚴厲的懲罰。</w:t>
      </w:r>
    </w:p>
    <w:p>
      <w:pPr>
        <w:pStyle w:val="Normal"/>
        <w:jc w:val="both"/>
        <w:rPr>
          <w:lang w:eastAsia="zh-HK"/>
        </w:rPr>
      </w:pPr>
      <w:r>
        <w:rPr>
          <w:lang w:eastAsia="zh-HK"/>
        </w:rPr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事實上，此刑法可追朔至</w:t>
      </w:r>
      <w:r>
        <w:rPr>
          <w:rFonts w:hint="eastAsia"/>
          <w:lang w:eastAsia="zh-HK"/>
        </w:rPr>
        <w:t>3,700</w:t>
      </w:r>
      <w:r>
        <w:rPr>
          <w:rFonts w:hint="eastAsia"/>
          <w:lang w:eastAsia="zh-HK"/>
        </w:rPr>
        <w:t>多年前的古巴比倫王國。當時的漢模拉比王由於感到自己難以處理數量龐大的申訴案件，因此他下令收集過往的法律條文及社會約定俗成的習慣，制訂了《漢模拉比法典》，刻在神殿的石柱上，體現公義。法典共有</w:t>
      </w:r>
      <w:r>
        <w:rPr>
          <w:rFonts w:hint="eastAsia"/>
          <w:lang w:eastAsia="zh-HK"/>
        </w:rPr>
        <w:t>282</w:t>
      </w:r>
      <w:r>
        <w:rPr>
          <w:rFonts w:hint="eastAsia"/>
          <w:lang w:eastAsia="zh-HK"/>
        </w:rPr>
        <w:t>條條文，用楔形文字寫成。</w:t>
      </w:r>
    </w:p>
    <w:p>
      <w:pPr>
        <w:pStyle w:val="Normal"/>
        <w:jc w:val="both"/>
        <w:rPr>
          <w:rFonts w:hint="eastAsia"/>
          <w:lang w:eastAsia="zh-HK"/>
        </w:rPr>
      </w:pPr>
      <w:r>
        <w:rPr>
          <w:rFonts w:hint="eastAsia"/>
          <w:lang w:eastAsia="zh-HK"/>
        </w:rPr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不少條文以「以牙還牙、以眼還眼」作為處理原則。例如，被人打斷了腿，也要把對方的腿打斷。如果房屋倒塌，壓死了房主的兒子，建造這所房屋的人得拿自己的兒子抵命。因此，我們可以得知當時法律的嚴厲。然而，這只是單單一部嚴明法典嗎？以下讓我們透過《漢模拉比法典》的小知識來了解巴比倫時</w:t>
      </w:r>
      <w:r>
        <w:rPr>
          <w:rFonts w:hint="eastAsia"/>
        </w:rPr>
        <w:t>期</w:t>
      </w:r>
      <w:r>
        <w:rPr>
          <w:rFonts w:hint="eastAsia"/>
          <w:lang w:eastAsia="zh-HK"/>
        </w:rPr>
        <w:t>的社會特色吧！</w:t>
      </w:r>
      <w:r>
        <w:br w:type="page"/>
      </w:r>
    </w:p>
    <w:p>
      <w:pPr>
        <w:pStyle w:val="Normal"/>
        <w:jc w:val="center"/>
        <w:rPr>
          <w:lang w:val="zh-TW" w:eastAsia="zh-TW"/>
        </w:rPr>
      </w:pPr>
      <w:r>
        <w:rPr>
          <w:lang w:val="zh-TW" w:eastAsia="zh-TW"/>
        </w:rPr>
        <w:drawing>
          <wp:inline distT="0" distB="0" distL="0" distR="0">
            <wp:extent cx="4400550" cy="8190230"/>
            <wp:effectExtent l="0" t="0" r="0" b="0"/>
            <wp:docPr id="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0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6" r="-1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819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華康儷圓 Std W7;微軟正黑體" w:hAnsi="華康儷圓 Std W7;微軟正黑體" w:eastAsia="華康儷圓 Std W7;微軟正黑體" w:cs="華康儷圓 Std W7;微軟正黑體" w:hint="eastAsia"/>
          <w:i/>
          <w:sz w:val="20"/>
          <w:szCs w:val="20"/>
          <w:lang w:eastAsia="zh-HK"/>
        </w:rPr>
      </w:pPr>
      <w:r>
        <w:rPr>
          <w:rFonts w:ascii="華康儷圓 Std W7;微軟正黑體" w:hAnsi="華康儷圓 Std W7;微軟正黑體" w:cs="華康儷圓 Std W7;微軟正黑體" w:hint="eastAsia" w:eastAsia="華康儷圓 Std W7;微軟正黑體"/>
          <w:i/>
          <w:sz w:val="20"/>
          <w:szCs w:val="20"/>
          <w:lang w:eastAsia="zh-HK"/>
        </w:rPr>
        <w:t>漢模拉比法典碑，約公元前</w:t>
      </w:r>
      <w:r>
        <w:rPr>
          <w:rFonts w:eastAsia="華康儷圓 Std W7;微軟正黑體" w:cs="華康儷圓 Std W7;微軟正黑體" w:hint="eastAsia" w:ascii="華康儷圓 Std W7;微軟正黑體" w:hAnsi="華康儷圓 Std W7;微軟正黑體"/>
          <w:i/>
          <w:sz w:val="20"/>
          <w:szCs w:val="20"/>
          <w:lang w:eastAsia="zh-HK"/>
        </w:rPr>
        <w:t>1760</w:t>
      </w:r>
      <w:r>
        <w:rPr>
          <w:rFonts w:ascii="華康儷圓 Std W7;微軟正黑體" w:hAnsi="華康儷圓 Std W7;微軟正黑體" w:cs="華康儷圓 Std W7;微軟正黑體" w:hint="eastAsia" w:eastAsia="華康儷圓 Std W7;微軟正黑體"/>
          <w:i/>
          <w:sz w:val="20"/>
          <w:szCs w:val="20"/>
          <w:lang w:eastAsia="zh-HK"/>
        </w:rPr>
        <w:t>年。現存法國羅浮宮內。</w:t>
      </w:r>
      <w:r>
        <w:br w:type="page"/>
      </w:r>
    </w:p>
    <w:p>
      <w:pPr>
        <w:pStyle w:val="Normal"/>
        <w:jc w:val="both"/>
        <w:rPr>
          <w:rFonts w:ascii="標楷體" w:hAnsi="標楷體" w:eastAsia="標楷體" w:cs="標楷體" w:hint="eastAsia"/>
          <w:b/>
          <w:bCs/>
          <w:color w:val="074F6A"/>
          <w:sz w:val="32"/>
          <w:szCs w:val="32"/>
          <w:lang w:val="en-GB" w:eastAsia="zh-HK"/>
        </w:rPr>
      </w:pPr>
      <w:r>
        <w:rPr>
          <w:rFonts w:ascii="標楷體" w:hAnsi="標楷體" w:cs="標楷體" w:hint="eastAsia" w:eastAsia="標楷體"/>
          <w:b/>
          <w:bCs/>
          <w:color w:val="074F6A"/>
          <w:sz w:val="32"/>
          <w:szCs w:val="32"/>
          <w:lang w:val="en-GB" w:eastAsia="zh-HK"/>
        </w:rPr>
        <w:t>古巴比倫的宗教與迷信</w:t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從石碑可見上方漢模拉比王以祈禱的姿勢站著，太陽神正將象徵司法和王權的測桿和指環遞給漢模拉比王，因此被理解為太陽神授於王。法典的序言亦重申漢模拉比是上天授與權力的王，足見國王已懂利用來宣傳其統治合法性。</w:t>
      </w:r>
    </w:p>
    <w:p>
      <w:pPr>
        <w:pStyle w:val="Normal"/>
        <w:jc w:val="both"/>
        <w:rPr>
          <w:lang w:eastAsia="zh-HK"/>
        </w:rPr>
      </w:pPr>
      <w:r>
        <w:rPr>
          <w:lang w:eastAsia="zh-HK"/>
        </w:rPr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另外根據用來處理巫盅之罪的水審法，犯案的被告人被投入河中，如果他沒有被溺死，就意味著河水已為他「洗白」，即為無罪，告發者應處死刑。由此，當時以神判的方式來處理案件的情況是很普遍的，反映了古巴比倫人非常迷信。</w:t>
      </w:r>
    </w:p>
    <w:p>
      <w:pPr>
        <w:pStyle w:val="Normal"/>
        <w:jc w:val="both"/>
        <w:rPr>
          <w:rFonts w:hint="eastAsia"/>
          <w:lang w:eastAsia="zh-HK"/>
        </w:rPr>
      </w:pPr>
      <w:r>
        <w:rPr>
          <w:rFonts w:hint="eastAsia"/>
          <w:lang w:eastAsia="zh-HK"/>
        </w:rPr>
      </w:r>
    </w:p>
    <w:p>
      <w:pPr>
        <w:pStyle w:val="Normal"/>
        <w:jc w:val="center"/>
        <w:rPr>
          <w:rFonts w:ascii="微軟正黑體" w:hAnsi="微軟正黑體" w:eastAsia="微軟正黑體" w:cs="微軟正黑體" w:hint="eastAsia"/>
          <w:color w:val="313131"/>
          <w:sz w:val="21"/>
          <w:szCs w:val="21"/>
          <w:lang w:val="zh-TW" w:eastAsia="zh-TW"/>
        </w:rPr>
      </w:pPr>
      <w:r>
        <w:rPr>
          <w:rFonts w:ascii="新細明體;PMingLiU" w:hAnsi="新細明體;PMingLiU" w:cs="新細明體;PMingLiU"/>
          <w:color w:val="4E3207"/>
          <w:lang w:val="zh-TW" w:eastAsia="zh-TW"/>
        </w:rPr>
        <w:drawing>
          <wp:inline distT="0" distB="0" distL="0" distR="0">
            <wp:extent cx="5273040" cy="3954780"/>
            <wp:effectExtent l="0" t="0" r="0" b="0"/>
            <wp:docPr id="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6" r="-5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華康儷圓 Std W7;微軟正黑體" w:hAnsi="華康儷圓 Std W7;微軟正黑體" w:eastAsia="華康儷圓 Std W7;微軟正黑體" w:cs="華康儷圓 Std W7;微軟正黑體"/>
          <w:i/>
          <w:sz w:val="20"/>
          <w:szCs w:val="20"/>
          <w:lang w:eastAsia="zh-HK"/>
        </w:rPr>
      </w:pPr>
      <w:r>
        <w:rPr>
          <w:rFonts w:ascii="華康儷圓 Std W7;微軟正黑體" w:hAnsi="華康儷圓 Std W7;微軟正黑體" w:cs="華康儷圓 Std W7;微軟正黑體" w:hint="eastAsia" w:eastAsia="華康儷圓 Std W7;微軟正黑體"/>
          <w:i/>
          <w:sz w:val="20"/>
          <w:szCs w:val="20"/>
          <w:lang w:eastAsia="zh-HK"/>
        </w:rPr>
        <w:t>石碑上鐫刻的楔形文字條文。</w:t>
      </w:r>
    </w:p>
    <w:p>
      <w:pPr>
        <w:pStyle w:val="Normal"/>
        <w:jc w:val="center"/>
        <w:rPr>
          <w:rFonts w:ascii="華康儷圓 Std W7;微軟正黑體" w:hAnsi="華康儷圓 Std W7;微軟正黑體" w:eastAsia="華康儷圓 Std W7;微軟正黑體" w:cs="華康儷圓 Std W7;微軟正黑體"/>
          <w:i/>
          <w:sz w:val="20"/>
          <w:szCs w:val="20"/>
          <w:lang w:eastAsia="zh-HK"/>
        </w:rPr>
      </w:pPr>
      <w:r>
        <w:rPr>
          <w:rFonts w:eastAsia="華康儷圓 Std W7;微軟正黑體" w:cs="華康儷圓 Std W7;微軟正黑體" w:ascii="華康儷圓 Std W7;微軟正黑體" w:hAnsi="華康儷圓 Std W7;微軟正黑體"/>
          <w:i/>
          <w:sz w:val="20"/>
          <w:szCs w:val="20"/>
          <w:lang w:eastAsia="zh-HK"/>
        </w:rPr>
      </w:r>
    </w:p>
    <w:p>
      <w:pPr>
        <w:pStyle w:val="Normal"/>
        <w:jc w:val="both"/>
        <w:rPr>
          <w:rFonts w:ascii="標楷體" w:hAnsi="標楷體" w:eastAsia="標楷體" w:cs="標楷體"/>
          <w:b/>
          <w:bCs/>
          <w:color w:val="074F6A"/>
          <w:sz w:val="32"/>
          <w:szCs w:val="32"/>
          <w:lang w:val="en-GB" w:eastAsia="zh-HK"/>
        </w:rPr>
      </w:pPr>
      <w:r>
        <w:rPr>
          <w:rFonts w:ascii="標楷體" w:hAnsi="標楷體" w:cs="標楷體" w:hint="eastAsia" w:eastAsia="標楷體"/>
          <w:b/>
          <w:bCs/>
          <w:color w:val="074F6A"/>
          <w:sz w:val="32"/>
          <w:szCs w:val="32"/>
          <w:lang w:val="en-GB" w:eastAsia="zh-HK"/>
        </w:rPr>
        <w:t>彰顯公義之間的矛盾</w:t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漢模拉比法典的建立實際上是為了維護奴隸主階級的統治地位，保護統治階級的利益。當時，不同等級的人，在法律上的地位有高低之分。巴比倫人被分貴族、自由民及奴隸三等。如果受害人的階層較低，那犯法者只需付罰款便可了事。另外，條文更反映了男女不平等的問題。如果一個男人殺死懷孕的婢女，他會被處以罰金；但如果這位孕婦是自由人，犯罪者的女兒將被處死以為補償，而非本人。這是奴隸制及男性主導社會下的必然結果。</w:t>
      </w:r>
      <w:r>
        <w:br w:type="page"/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但是，漢模拉比國王希望透過法典來令社會達到公平公義。除了以嚴苛的法律來整頓社會外，他更訂立了一些規條，例如不同職業有都有最低的薪酬，終身奴役被廢除等。因此，農民、醫生，甚至低下的奴隸都能獲得最低工資，奴隸更有自由及受保護的權利。</w:t>
      </w:r>
    </w:p>
    <w:p>
      <w:pPr>
        <w:pStyle w:val="Normal"/>
        <w:jc w:val="both"/>
        <w:rPr>
          <w:rFonts w:hint="eastAsia"/>
          <w:lang w:eastAsia="zh-HK"/>
        </w:rPr>
      </w:pPr>
      <w:r>
        <w:rPr>
          <w:rFonts w:hint="eastAsia"/>
          <w:lang w:eastAsia="zh-HK"/>
        </w:rPr>
      </w:r>
    </w:p>
    <w:p>
      <w:pPr>
        <w:pStyle w:val="Normal"/>
        <w:jc w:val="both"/>
        <w:rPr>
          <w:rFonts w:ascii="標楷體" w:hAnsi="標楷體" w:eastAsia="標楷體" w:cs="標楷體"/>
          <w:b/>
          <w:bCs/>
          <w:color w:val="074F6A"/>
          <w:sz w:val="32"/>
          <w:szCs w:val="32"/>
          <w:lang w:val="en-GB" w:eastAsia="zh-HK"/>
        </w:rPr>
      </w:pPr>
      <w:r>
        <w:rPr>
          <w:rFonts w:ascii="標楷體" w:hAnsi="標楷體" w:cs="標楷體" w:hint="eastAsia" w:eastAsia="標楷體"/>
          <w:b/>
          <w:bCs/>
          <w:color w:val="074F6A"/>
          <w:sz w:val="32"/>
          <w:szCs w:val="32"/>
          <w:lang w:val="en-GB" w:eastAsia="zh-HK"/>
        </w:rPr>
        <w:t>影響深遠的《漢模拉比法典》</w:t>
      </w:r>
    </w:p>
    <w:p>
      <w:pPr>
        <w:pStyle w:val="Normal"/>
        <w:jc w:val="both"/>
        <w:rPr>
          <w:lang w:eastAsia="zh-HK"/>
        </w:rPr>
      </w:pPr>
      <w:r>
        <w:rPr>
          <w:rFonts w:hint="eastAsia"/>
          <w:lang w:eastAsia="zh-HK"/>
        </w:rPr>
        <w:t>由美索不達米亞時期直到現在，我們都可以看到《漢模拉比法典》的影子。許多現代法律原則如「無罪推斷」、公民陪審團等都是由此起源。此外，在古代，正義與懲罰以「同態報復」為重心。直到現在，回教世界不少國家至今仍以同樣的方法來處理刑罰，也因而受到不少人道主義者的批評。總而言之，作為世上最早的一部比較具有系統的法典，其價值是不可言喻的。</w:t>
      </w:r>
    </w:p>
    <w:p>
      <w:pPr>
        <w:pStyle w:val="Normal"/>
        <w:jc w:val="both"/>
        <w:rPr>
          <w:rFonts w:ascii="新細明體;PMingLiU" w:hAnsi="新細明體;PMingLiU" w:cs="新細明體;PMingLiU"/>
          <w:lang w:val="zh-TW" w:eastAsia="zh-HK"/>
        </w:rPr>
      </w:pPr>
      <w:r>
        <w:rPr>
          <w:rFonts w:cs="新細明體;PMingLiU" w:ascii="新細明體;PMingLiU" w:hAnsi="新細明體;PMingLiU"/>
          <w:lang w:val="zh-TW" w:eastAsia="zh-HK"/>
        </w:rPr>
      </w:r>
      <w:r>
        <w:br w:type="page"/>
      </w:r>
    </w:p>
    <w:p>
      <w:pPr>
        <w:pStyle w:val="Normal"/>
        <w:jc w:val="both"/>
        <w:rPr>
          <w:rFonts w:ascii="新細明體;PMingLiU" w:hAnsi="新細明體;PMingLiU" w:cs="新細明體;PMingLiU"/>
          <w:b/>
          <w:lang w:val="zh-TW" w:eastAsia="zh-HK"/>
        </w:rPr>
      </w:pPr>
      <w:r>
        <w:rPr>
          <w:rFonts w:cs="新細明體;PMingLiU" w:ascii="新細明體;PMingLiU" w:hAnsi="新細明體;PMingLiU"/>
          <w:b/>
          <w:lang w:val="zh-TW" w:eastAsia="zh-HK"/>
        </w:rPr>
      </w:r>
    </w:p>
    <w:tbl>
      <w:tblPr>
        <w:tblW w:w="9694" w:type="dxa"/>
        <w:jc w:val="start"/>
        <w:tblInd w:w="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694"/>
      </w:tblGrid>
      <w:tr>
        <w:trPr/>
        <w:tc>
          <w:tcPr>
            <w:tcW w:w="9694" w:type="dxa"/>
            <w:tcBorders>
              <w:bottom w:val="single" w:sz="12" w:space="0" w:color="4EA72E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lang w:eastAsia="zh-HK"/>
              </w:rPr>
              <w:drawing>
                <wp:inline distT="0" distB="0" distL="0" distR="0">
                  <wp:extent cx="1861820" cy="781685"/>
                  <wp:effectExtent l="0" t="0" r="0" b="0"/>
                  <wp:docPr id="4" name="影像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影像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" t="-7" r="-3" b="15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820" cy="781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94" w:type="dxa"/>
            <w:tcBorders>
              <w:top w:val="single" w:sz="12" w:space="0" w:color="4EA72E"/>
              <w:start w:val="single" w:sz="12" w:space="0" w:color="4EA72E"/>
              <w:bottom w:val="single" w:sz="12" w:space="0" w:color="4EA72E"/>
              <w:end w:val="single" w:sz="12" w:space="0" w:color="4EA72E"/>
            </w:tcBorders>
            <w:shd w:fill="D9F2D0" w:val="clear"/>
          </w:tcPr>
          <w:p>
            <w:pPr>
              <w:pStyle w:val="Normal"/>
              <w:spacing w:lineRule="auto" w:line="480"/>
              <w:jc w:val="both"/>
              <w:rPr>
                <w:b/>
              </w:rPr>
            </w:pPr>
            <w:r>
              <w:rPr>
                <w:rFonts w:hint="eastAsia"/>
                <w:lang w:eastAsia="zh-HK"/>
              </w:rPr>
              <w:t>你認為報復主義對現今世界造成了甚麼影響？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________________________________________________________________________________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________________________________________________________________________________</w:t>
      </w:r>
    </w:p>
    <w:p>
      <w:pPr>
        <w:pStyle w:val="Normal"/>
        <w:spacing w:lineRule="auto" w:line="480"/>
        <w:jc w:val="both"/>
        <w:rPr/>
      </w:pPr>
      <w:r>
        <w:rPr>
          <w:rFonts w:cs="Times New Roman" w:ascii="Times New Roman" w:hAnsi="Times New Roman"/>
          <w:bCs/>
        </w:rPr>
        <w:t>________________________________________________________________________________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________________________________________________________________________________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Cs/>
        </w:rPr>
      </w:pPr>
      <w:r>
        <w:rPr>
          <w:rFonts w:cs="Times New Roman" w:ascii="Times New Roman" w:hAnsi="Times New Roman"/>
          <w:bCs/>
        </w:rPr>
        <w:t>________________________________________________________________________________</w:t>
      </w:r>
    </w:p>
    <w:p>
      <w:pPr>
        <w:pStyle w:val="Normal"/>
        <w:rPr>
          <w:rFonts w:ascii="Times New Roman" w:hAnsi="Times New Roman" w:cs="Times New Roman"/>
          <w:bCs/>
          <w:lang w:eastAsia="zh-HK"/>
        </w:rPr>
      </w:pPr>
      <w:r>
        <w:rPr>
          <w:rFonts w:cs="Times New Roman" w:ascii="Times New Roman" w:hAnsi="Times New Roman"/>
          <w:bCs/>
          <w:lang w:eastAsia="zh-HK"/>
        </w:rPr>
      </w:r>
    </w:p>
    <w:p>
      <w:pPr>
        <w:pStyle w:val="Normal"/>
        <w:jc w:val="both"/>
        <w:rPr>
          <w:lang w:eastAsia="zh-HK"/>
        </w:rPr>
      </w:pPr>
      <w:r>
        <w:rPr>
          <w:lang w:eastAsia="zh-HK"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rPr>
          <w:rFonts w:ascii="Times New Roman" w:hAnsi="Times New Roman" w:cs="Times New Roman" w:hint="eastAsia"/>
          <w:sz w:val="0"/>
          <w:szCs w:val="0"/>
          <w:lang w:val="zh-TW" w:bidi="zh-TW"/>
        </w:rPr>
      </w:pPr>
      <w:r>
        <w:rPr>
          <w:rFonts w:cs="Times New Roman" w:hint="eastAsia" w:ascii="Times New Roman" w:hAnsi="Times New Roman"/>
          <w:sz w:val="0"/>
          <w:szCs w:val="0"/>
          <w:lang w:val="zh-TW" w:bidi="zh-TW"/>
        </w:rPr>
      </w:r>
    </w:p>
    <w:p>
      <w:pPr>
        <w:pStyle w:val="Normal"/>
        <w:tabs>
          <w:tab w:val="clear" w:pos="480"/>
          <w:tab w:val="left" w:pos="3384" w:leader="none"/>
        </w:tabs>
        <w:rPr>
          <w:rFonts w:ascii="Times New Roman" w:hAnsi="Times New Roman" w:cs="Times New Roman" w:hint="eastAsia"/>
          <w:sz w:val="0"/>
          <w:szCs w:val="0"/>
          <w:lang w:val="zh-TW" w:bidi="zh-TW"/>
        </w:rPr>
      </w:pPr>
      <w:r>
        <w:rPr>
          <w:rFonts w:cs="Times New Roman" w:ascii="Times New Roman" w:hAnsi="Times New Roman"/>
          <w:sz w:val="0"/>
          <w:szCs w:val="0"/>
          <w:lang w:val="zh-TW" w:bidi="zh-TW"/>
        </w:rPr>
        <w:tab/>
        <w:softHyphen/>
      </w:r>
    </w:p>
    <w:p>
      <w:pPr>
        <w:pStyle w:val="Normal"/>
        <w:rPr>
          <w:rFonts w:ascii="Times New Roman" w:hAnsi="Times New Roman" w:cs="Times New Roman" w:hint="eastAsia"/>
          <w:sz w:val="0"/>
          <w:szCs w:val="0"/>
          <w:lang w:val="zh-TW" w:bidi="zh-TW"/>
        </w:rPr>
      </w:pPr>
      <w:r>
        <w:rPr>
          <w:rFonts w:cs="Times New Roman" w:hint="eastAsia" w:ascii="Times New Roman" w:hAnsi="Times New Roman"/>
          <w:sz w:val="0"/>
          <w:szCs w:val="0"/>
          <w:lang w:val="zh-TW" w:bidi="zh-TW"/>
        </w:rPr>
      </w:r>
    </w:p>
    <w:p>
      <w:pPr>
        <w:pStyle w:val="Normal"/>
        <w:rPr>
          <w:rFonts w:ascii="Times New Roman" w:hAnsi="Times New Roman" w:cs="Times New Roman" w:hint="eastAsia"/>
          <w:sz w:val="0"/>
          <w:szCs w:val="0"/>
          <w:lang w:val="zh-TW" w:bidi="zh-TW"/>
        </w:rPr>
      </w:pPr>
      <w:r>
        <w:rPr>
          <w:rFonts w:cs="Times New Roman" w:hint="eastAsia" w:ascii="Times New Roman" w:hAnsi="Times New Roman"/>
          <w:sz w:val="0"/>
          <w:szCs w:val="0"/>
          <w:lang w:val="zh-TW" w:bidi="zh-TW"/>
        </w:rPr>
      </w:r>
    </w:p>
    <w:p>
      <w:pPr>
        <w:pStyle w:val="Normal"/>
        <w:rPr>
          <w:rFonts w:ascii="Times New Roman" w:hAnsi="Times New Roman" w:cs="Times New Roman" w:hint="eastAsia"/>
          <w:sz w:val="0"/>
          <w:szCs w:val="0"/>
          <w:lang w:val="zh-TW" w:bidi="zh-TW"/>
        </w:rPr>
      </w:pPr>
      <w:r>
        <w:rPr>
          <w:rFonts w:cs="Times New Roman" w:hint="eastAsia" w:ascii="Times New Roman" w:hAnsi="Times New Roman"/>
          <w:sz w:val="0"/>
          <w:szCs w:val="0"/>
          <w:lang w:val="zh-TW" w:bidi="zh-TW"/>
        </w:rPr>
      </w:r>
    </w:p>
    <w:p>
      <w:pPr>
        <w:pStyle w:val="Normal"/>
        <w:tabs>
          <w:tab w:val="clear" w:pos="480"/>
          <w:tab w:val="left" w:pos="2034" w:leader="none"/>
        </w:tabs>
        <w:rPr/>
      </w:pPr>
      <w:r>
        <w:rPr>
          <w:rFonts w:cs="Times New Roman" w:ascii="Times New Roman" w:hAnsi="Times New Roman"/>
          <w:sz w:val="0"/>
          <w:szCs w:val="0"/>
          <w:lang w:val="zh-TW" w:bidi="zh-TW"/>
        </w:rPr>
        <w:tab/>
        <w:softHyphen/>
        <w:softHyphen/>
        <w:softHyphen/>
        <w:softHyphen/>
        <w:softHyphen/>
        <w:softHyphen/>
        <w:softHyphen/>
        <w:softHyphen/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830" w:top="1040" w:footer="95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88"/>
    <w:family w:val="swiss"/>
    <w:pitch w:val="variable"/>
  </w:font>
  <w:font w:name="微軟正黑體">
    <w:charset w:val="88"/>
    <w:family w:val="swiss"/>
    <w:pitch w:val="variable"/>
  </w:font>
  <w:font w:name="華康儷圓 Std W7">
    <w:altName w:val="微軟正黑體"/>
    <w:charset w:val="88"/>
    <w:family w:val="modern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</w:tabs>
      <w:jc w:val="center"/>
      <w:rPr>
        <w:rFonts w:ascii="Arial" w:hAnsi="Arial" w:eastAsia="微軟正黑體" w:cs="Arial"/>
        <w:b/>
        <w:bCs/>
        <w:sz w:val="16"/>
        <w:szCs w:val="16"/>
      </w:rPr>
    </w:pPr>
    <w:r>
      <w:rPr>
        <w:rFonts w:eastAsia="微軟正黑體" w:cs="Arial" w:ascii="Arial" w:hAnsi="Arial"/>
        <w:b/>
        <w:bCs/>
        <w:sz w:val="16"/>
        <w:szCs w:val="16"/>
      </w:rPr>
    </w:r>
  </w:p>
  <w:p>
    <w:pPr>
      <w:pStyle w:val="Footer"/>
      <w:rPr/>
    </w:pPr>
    <w:r>
      <w:rPr>
        <w:rFonts w:eastAsia="微軟正黑體" w:cs="Arial" w:ascii="Arial" w:hAnsi="Arial"/>
        <w:b/>
        <w:bCs/>
        <w:color w:val="000000"/>
        <w:sz w:val="16"/>
        <w:szCs w:val="16"/>
      </w:rPr>
      <w:t xml:space="preserve">© </w:t>
    </w:r>
    <w:r>
      <w:rPr>
        <w:rFonts w:ascii="Arial" w:hAnsi="Arial" w:cs="Arial" w:eastAsia="微軟正黑體"/>
        <w:b/>
        <w:bCs/>
        <w:sz w:val="16"/>
        <w:szCs w:val="16"/>
      </w:rPr>
      <w:t>齡記出版有限公司</w:t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page">
                <wp:posOffset>3777615</wp:posOffset>
              </wp:positionH>
              <wp:positionV relativeFrom="page">
                <wp:posOffset>9943465</wp:posOffset>
              </wp:positionV>
              <wp:extent cx="56515" cy="144145"/>
              <wp:effectExtent l="0" t="0" r="0" b="0"/>
              <wp:wrapTopAndBottom/>
              <wp:docPr id="5" name="外框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441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  <w:rFonts w:ascii="Arial" w:hAnsi="Arial" w:eastAsia="微軟正黑體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PageNumber"/>
                              <w:rFonts w:ascii="Arial" w:hAnsi="Arial" w:cs="Arial" w:eastAsia="微軟正黑體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Arial" w:hAnsi="Arial" w:cs="Arial" w:eastAsia="微軟正黑體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ascii="Arial" w:hAnsi="Arial" w:cs="Arial" w:eastAsia="微軟正黑體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="Arial" w:hAnsi="Arial" w:cs="Arial" w:eastAsia="微軟正黑體"/>
                              <w:b/>
                              <w:bCs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Style w:val="PageNumber"/>
                              <w:rFonts w:ascii="Arial" w:hAnsi="Arial" w:cs="Arial" w:eastAsia="微軟正黑體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11.35pt;mso-wrap-distance-left:0pt;mso-wrap-distance-right:0pt;mso-wrap-distance-top:0pt;mso-wrap-distance-bottom:0pt;margin-top:782.95pt;mso-position-vertical-relative:page;margin-left:297.4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  <w:rFonts w:ascii="Arial" w:hAnsi="Arial" w:eastAsia="微軟正黑體" w:cs="Arial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Style w:val="PageNumber"/>
                        <w:rFonts w:ascii="Arial" w:hAnsi="Arial" w:cs="Arial" w:eastAsia="微軟正黑體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Style w:val="PageNumber"/>
                        <w:rFonts w:ascii="Arial" w:hAnsi="Arial" w:cs="Arial" w:eastAsia="微軟正黑體"/>
                        <w:b/>
                        <w:bCs/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ascii="Arial" w:hAnsi="Arial" w:cs="Arial" w:eastAsia="微軟正黑體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PageNumber"/>
                        <w:rFonts w:ascii="Arial" w:hAnsi="Arial" w:cs="Arial" w:eastAsia="微軟正黑體"/>
                        <w:b/>
                        <w:bCs/>
                        <w:sz w:val="16"/>
                        <w:szCs w:val="16"/>
                      </w:rPr>
                      <w:t>5</w:t>
                    </w:r>
                    <w:r>
                      <w:rPr>
                        <w:rStyle w:val="PageNumber"/>
                        <w:rFonts w:ascii="Arial" w:hAnsi="Arial" w:cs="Arial" w:eastAsia="微軟正黑體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right" w:pos="9638" w:leader="none"/>
      </w:tabs>
      <w:ind w:end="-1"/>
      <w:rPr>
        <w:rFonts w:ascii="微軟正黑體" w:hAnsi="微軟正黑體" w:eastAsia="微軟正黑體" w:cs="Arial"/>
        <w:sz w:val="16"/>
        <w:szCs w:val="16"/>
      </w:rPr>
    </w:pPr>
    <w:r>
      <w:rPr>
        <w:rFonts w:ascii="微軟正黑體" w:hAnsi="微軟正黑體" w:cs="微軟正黑體" w:hint="eastAsia" w:eastAsia="微軟正黑體"/>
        <w:sz w:val="16"/>
        <w:szCs w:val="16"/>
      </w:rPr>
      <w:t>新簡明世界史</w:t>
    </w:r>
    <w:r>
      <w:rPr>
        <w:rFonts w:eastAsia="微軟正黑體" w:cs="Arial" w:ascii="微軟正黑體" w:hAnsi="微軟正黑體"/>
        <w:sz w:val="16"/>
        <w:szCs w:val="16"/>
      </w:rPr>
      <w:tab/>
    </w:r>
    <w:r>
      <w:rPr>
        <w:rFonts w:ascii="微軟正黑體" w:hAnsi="微軟正黑體" w:cs="微軟正黑體" w:hint="eastAsia" w:eastAsia="微軟正黑體"/>
        <w:sz w:val="16"/>
        <w:szCs w:val="16"/>
      </w:rPr>
      <w:t>自主閱讀材料</w:t>
    </w:r>
  </w:p>
  <w:p>
    <w:pPr>
      <w:pStyle w:val="Header"/>
      <w:rPr>
        <w:rFonts w:ascii="微軟正黑體" w:hAnsi="微軟正黑體" w:eastAsia="微軟正黑體" w:cs="Arial"/>
        <w:sz w:val="16"/>
        <w:szCs w:val="16"/>
      </w:rPr>
    </w:pPr>
    <w:r>
      <w:rPr>
        <w:rFonts w:eastAsia="微軟正黑體" w:cs="Arial" w:ascii="微軟正黑體" w:hAnsi="微軟正黑體"/>
        <w:sz w:val="16"/>
        <w:szCs w:val="16"/>
      </w:rPr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bidi="ar-SA" w:val="en-US" w:eastAsia="zh-TW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  <w:b w:val="false"/>
    </w:rPr>
  </w:style>
  <w:style w:type="character" w:styleId="Style14">
    <w:name w:val="預設段落字型"/>
    <w:qFormat/>
    <w:rPr/>
  </w:style>
  <w:style w:type="character" w:styleId="Style15">
    <w:name w:val="頁首 字元"/>
    <w:qFormat/>
    <w:rPr>
      <w:sz w:val="20"/>
      <w:szCs w:val="20"/>
    </w:rPr>
  </w:style>
  <w:style w:type="character" w:styleId="Style16">
    <w:name w:val="頁尾 字元"/>
    <w:qFormat/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14"/>
    <w:rPr/>
  </w:style>
  <w:style w:type="paragraph" w:styleId="Style17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清單段落"/>
    <w:basedOn w:val="Normal"/>
    <w:qFormat/>
    <w:pPr>
      <w:ind w:firstLineChars="0" w:firstLine="0" w:startChars="200" w:endChars="0" w:end="0"/>
    </w:pPr>
    <w:rPr/>
  </w:style>
  <w:style w:type="paragraph" w:styleId="Style20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21">
    <w:name w:val="無間距"/>
    <w:qFormat/>
    <w:pPr>
      <w:widowControl w:val="fals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bidi="ar-SA" w:val="en-US" w:eastAsia="zh-TW"/>
    </w:rPr>
  </w:style>
  <w:style w:type="paragraph" w:styleId="Style22">
    <w:name w:val="表格內容"/>
    <w:basedOn w:val="Normal"/>
    <w:qFormat/>
    <w:pPr>
      <w:widowControl w:val="false"/>
      <w:suppressLineNumbers/>
    </w:pPr>
    <w:rPr/>
  </w:style>
  <w:style w:type="paragraph" w:styleId="Style23">
    <w:name w:val="表格標題"/>
    <w:basedOn w:val="Style22"/>
    <w:qFormat/>
    <w:pPr>
      <w:suppressLineNumbers/>
      <w:jc w:val="center"/>
    </w:pPr>
    <w:rPr>
      <w:b/>
      <w:bCs/>
    </w:rPr>
  </w:style>
  <w:style w:type="paragraph" w:styleId="Style24">
    <w:name w:val="外框內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2025-09-05T12:32:00Z</dcterms:created>
  <dc:creator>editb49</dc:creator>
  <dc:description/>
  <cp:keywords/>
  <dc:language>zh-TW</dc:language>
  <cp:lastModifiedBy>history01 history01</cp:lastModifiedBy>
  <cp:lastPrinted>2025-09-04T17:49:00Z</cp:lastPrinted>
  <dcterms:modified xsi:type="dcterms:W3CDTF">2025-09-05T12:32:00Z</dcterms:modified>
  <cp:revision>2</cp:revision>
  <dc:subject/>
  <dc:title/>
</cp:coreProperties>
</file>