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Artículo - el impacto de las grandes corporaciones en las redes sociales, aplicaciones e IA</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w:t>
      </w:r>
      <w:r w:rsidDel="00000000" w:rsidR="00000000" w:rsidRPr="00000000">
        <w:rPr>
          <w:rFonts w:ascii="Times New Roman" w:cs="Times New Roman" w:eastAsia="Times New Roman" w:hAnsi="Times New Roman"/>
          <w:color w:val="222222"/>
          <w:sz w:val="24"/>
          <w:szCs w:val="24"/>
          <w:rtl w:val="0"/>
        </w:rPr>
        <w:t xml:space="preserve">egún Pavón (2012), las redes sociales fueron una gran herramienta de la web 2.0, facilitaron la publicación de contenidos, puesto que antes hacía falta grandes conocimientos técnicos de lenguajes como HTML y JavaScript, por lo tanto, esto democratizó Internet. Aún así, Pavón (2012) advierte de los peligros de publicar aspectos personales en las redes sociales además de lo importante que es pararse a pensar antes de publicar. Por otro lado, Pavón (2012) destaca que una red social es útil para una empresa dispuesta a escuchar, dialogar e interactuar con clientes u otras empresas, también le es ú</w:t>
      </w:r>
      <w:r w:rsidDel="00000000" w:rsidR="00000000" w:rsidRPr="00000000">
        <w:rPr>
          <w:rFonts w:ascii="Times New Roman" w:cs="Times New Roman" w:eastAsia="Times New Roman" w:hAnsi="Times New Roman"/>
          <w:color w:val="222222"/>
          <w:sz w:val="24"/>
          <w:szCs w:val="24"/>
          <w:highlight w:val="white"/>
          <w:rtl w:val="0"/>
        </w:rPr>
        <w:t xml:space="preserve">til para mantener una reputación.</w:t>
      </w:r>
    </w:p>
    <w:p w:rsidR="00000000" w:rsidDel="00000000" w:rsidP="00000000" w:rsidRDefault="00000000" w:rsidRPr="00000000" w14:paraId="00000004">
      <w:pPr>
        <w:ind w:firstLine="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Aún así, Fuentes (2023) afirma que las redes sociales funcionan como un lugar virtual donde se reúnen diversos grupos de fanáticos e individuos con sesgos ideológicos que, a falta de regulación, orientación y educación, terminan consumiendo información sin restricciones y volviéndose vulnerables a la influencia de las grandes corporaciones y/o “señores feudales”. Las redes sociales fueron creadas para conectarnos, pero en realidad han estado </w:t>
      </w:r>
      <w:r w:rsidDel="00000000" w:rsidR="00000000" w:rsidRPr="00000000">
        <w:rPr>
          <w:rFonts w:ascii="Times New Roman" w:cs="Times New Roman" w:eastAsia="Times New Roman" w:hAnsi="Times New Roman"/>
          <w:color w:val="222222"/>
          <w:sz w:val="24"/>
          <w:szCs w:val="24"/>
          <w:highlight w:val="white"/>
          <w:rtl w:val="0"/>
        </w:rPr>
        <w:t xml:space="preserve">dividiéndonos</w:t>
      </w:r>
      <w:r w:rsidDel="00000000" w:rsidR="00000000" w:rsidRPr="00000000">
        <w:rPr>
          <w:rFonts w:ascii="Times New Roman" w:cs="Times New Roman" w:eastAsia="Times New Roman" w:hAnsi="Times New Roman"/>
          <w:color w:val="222222"/>
          <w:sz w:val="24"/>
          <w:szCs w:val="24"/>
          <w:highlight w:val="white"/>
          <w:rtl w:val="0"/>
        </w:rPr>
        <w:t xml:space="preserve"> en grupos dispuestos a luchar apasionadamente por lo que ellos consideran como su única “verdad”, esto por medio de noticias falsas que atraen a otros usuarios a unirse (Fuentes, 2023). </w:t>
      </w:r>
    </w:p>
    <w:p w:rsidR="00000000" w:rsidDel="00000000" w:rsidP="00000000" w:rsidRDefault="00000000" w:rsidRPr="00000000" w14:paraId="00000005">
      <w:pPr>
        <w:ind w:firstLine="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 pesar de su fuerte opinión, Fuentes (2023) también ve el lado positivo de la llegada de la web 2.0 a partir del 2004, con nuevas plataformas como los blogs, redes sociales y la proliferación de lo que él nombra como “periodismo ciudadano” terminó con el monopolio informativo que históricamente retuvieron los grandes medios de comunicación corporativos al permitir a millones de usuarios pasar de ser una audiencia pasiva a ser productores activos de contenidos, compartiendo sus propias coberturas, opiniones e imágenes de lo sucedido.</w:t>
      </w:r>
    </w:p>
    <w:p w:rsidR="00000000" w:rsidDel="00000000" w:rsidP="00000000" w:rsidRDefault="00000000" w:rsidRPr="00000000" w14:paraId="00000006">
      <w:pPr>
        <w:ind w:firstLine="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De la misma forma, Fuentes (2023) hace mención de la República Popular China como algo más que un régimen feudal, ya que al ver todos estos ejemplos en el mundo occidental y saber de las políticas y reputación chinas de tener un control absoluto nos hace cuestionarnos hasta qué punto están involucrados en las redes sociales creadas en ese país.</w:t>
      </w:r>
    </w:p>
    <w:p w:rsidR="00000000" w:rsidDel="00000000" w:rsidP="00000000" w:rsidRDefault="00000000" w:rsidRPr="00000000" w14:paraId="00000007">
      <w:pPr>
        <w:ind w:firstLine="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Por otra parte, Durand (2021) indica que la </w:t>
      </w:r>
      <w:r w:rsidDel="00000000" w:rsidR="00000000" w:rsidRPr="00000000">
        <w:rPr>
          <w:rFonts w:ascii="Times New Roman" w:cs="Times New Roman" w:eastAsia="Times New Roman" w:hAnsi="Times New Roman"/>
          <w:i w:val="1"/>
          <w:color w:val="222222"/>
          <w:sz w:val="24"/>
          <w:szCs w:val="24"/>
          <w:highlight w:val="white"/>
          <w:rtl w:val="0"/>
        </w:rPr>
        <w:t xml:space="preserve">potentia multitudinis</w:t>
      </w:r>
      <w:r w:rsidDel="00000000" w:rsidR="00000000" w:rsidRPr="00000000">
        <w:rPr>
          <w:rFonts w:ascii="Times New Roman" w:cs="Times New Roman" w:eastAsia="Times New Roman" w:hAnsi="Times New Roman"/>
          <w:color w:val="222222"/>
          <w:sz w:val="24"/>
          <w:szCs w:val="24"/>
          <w:highlight w:val="white"/>
          <w:rtl w:val="0"/>
        </w:rPr>
        <w:t xml:space="preserve"> [el poder de la multitud] es el objeto a captar para las empresas de Big Data, es su poder efectivo para hacer que nos comportemos de una manera determinada que ellos captan y lo dan una forma cristalizada. Además, Durand (2021) hace la comparación de cómo nosotros los humanos en la era digital somos tan vulnerables al imperio de los algoritmos como lo fueron los humanos siervos de la era feudal, mencionando cómo la cristalización de la Nube impregna y sujeta las existencias individuales así como los siervos estaban sujetos a sus señores feudales. Asimismo, Durand (2021) da un ejemplo de lo útil que es Microsoft Word y cómo él sabe que es la mejor herramienta para asegurar la integridad de los documentos que quiere enviar o recibir, pero eso no exenta que al haberle dedicado tanta atención y tiempo al aprendizaje de la interfaz Office hemos aceptado inscribirnos en un ecosistema sociotécnico controlado por Microsoft del que es difícil salir.</w:t>
      </w:r>
    </w:p>
    <w:p w:rsidR="00000000" w:rsidDel="00000000" w:rsidP="00000000" w:rsidRDefault="00000000" w:rsidRPr="00000000" w14:paraId="00000008">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ab/>
        <w:t xml:space="preserve">Aún así, esto no anula los beneficios de la computación en la nube pues García (2017) menciona que anuncia un cambio revolucionario en la orientación en términos de aumento de productividad, creación de empleo, desarrollo empresarial y ventaja competitiva. Además, García (2017) señala ventajas como usarla desde cualquier computadora conectada a internet, no depender de un sistema operativo concreto, accesible desde cualquier navegador, información siempre disponible, sin dispositivos de almacenamiento, gran oferta de servicios gratuitos y la posibilidad de colaborar en el mismo contenido por múltiples usuarios al mismo tiempo.</w:t>
      </w:r>
    </w:p>
    <w:p w:rsidR="00000000" w:rsidDel="00000000" w:rsidP="00000000" w:rsidRDefault="00000000" w:rsidRPr="00000000" w14:paraId="00000009">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ab/>
        <w:t xml:space="preserve">Otro aspecto a considerar es la inteligencia artificial que grandes beneficios potenciales, según García-Peñalvo (2023) las inteligencias artificiales generativas permiten el acceso a una gran cantidad de información relevante en tiempo real, puede generar amplios contenidos educativos, puede ser una herramienta de apoyo al aprendizaje de nuevos conceptos, potencia el pensamiento crítico y la creatividad funcionando como un apoyo en las tareas repetitivas. Además, Suarez (2018) destaca las inteligencias artificiales previas a las generativas, mencionando que las empresas de e-commerce que estaban </w:t>
      </w:r>
      <w:r w:rsidDel="00000000" w:rsidR="00000000" w:rsidRPr="00000000">
        <w:rPr>
          <w:rFonts w:ascii="Times New Roman" w:cs="Times New Roman" w:eastAsia="Times New Roman" w:hAnsi="Times New Roman"/>
          <w:color w:val="222222"/>
          <w:sz w:val="24"/>
          <w:szCs w:val="24"/>
          <w:highlight w:val="white"/>
          <w:rtl w:val="0"/>
        </w:rPr>
        <w:t xml:space="preserve">implementándolas</w:t>
      </w:r>
      <w:r w:rsidDel="00000000" w:rsidR="00000000" w:rsidRPr="00000000">
        <w:rPr>
          <w:rFonts w:ascii="Times New Roman" w:cs="Times New Roman" w:eastAsia="Times New Roman" w:hAnsi="Times New Roman"/>
          <w:color w:val="222222"/>
          <w:sz w:val="24"/>
          <w:szCs w:val="24"/>
          <w:highlight w:val="white"/>
          <w:rtl w:val="0"/>
        </w:rPr>
        <w:t xml:space="preserve">, como lo son Facebook, Google, Amazon y Netflix, lo hacen para ofrecerle de manera determinada a cada cliente los productos que le pueden gustar o que han estado buscando a través de diferentes interacciones generando beneficios como ahorro entre la interacción del cliente con el proceso de búsqueda y compra; eso las hizo destacar entre las empresas que no implementan tecnologías similares. En su conclusión, Suarez (2018) indica que las implementaciones de estas tecnologías en el sector empresarial permiten contar con métodos que sirven de apoyo a los complejos obstáculos de análisis de información, conocimiento o realización de funciones que generan mayor impacto a los colaboradores.</w:t>
      </w:r>
    </w:p>
    <w:p w:rsidR="00000000" w:rsidDel="00000000" w:rsidP="00000000" w:rsidRDefault="00000000" w:rsidRPr="00000000" w14:paraId="0000000A">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ab/>
        <w:t xml:space="preserve">Por otra parte, Tello (2023) resalta el estrecho vínculo entre la computación a escala planetaria y una nueva forma de colonización en curso donde las grandes empresas tecnológicas como Google, Meta, Amazon, IBM, Apple o Microsoft, y también empresas chinas como Baidu, Alibaba y Tencent, expanden sus territorios digitales amenazando la privacidad de sus usuarios a la vez que imponen simultáneamente regulaciones, diseños tecnológicos y modelos culturales a través de la consolidación de su dominio computacional. Esto les permite volverse agentes político-corporativos a escala planetaria que poseen una incomparable capacidad tecnológica para gestionar, procesar e intervenir las comunicaciones de todos los usuarios conectados a Internet a nivel global y con el poder de influir de manera decisiva los destinos de los gobiernos y las democracias de los países que proveen infraestructura digital (Tello, 2023). En este contexto, Tello (2023) menciona cómo los gobiernos estatales del sur global se han transformado en clientes de las grandes empresas tecnológicas, implementando en sus distintos territorios sistemas automatizados de toma de decisiones públicas con datos de propiedad corporativa, contratando diversos productos de inteligencia artificial, adoptando sus agendas digitales y adquiriendo sus programas educativos o de capacitación digital para la fuerza laboral de cada país, permitiendo así a las compañías infiltrarse en los estados tradicionales a través de convenios.</w:t>
      </w:r>
    </w:p>
    <w:p w:rsidR="00000000" w:rsidDel="00000000" w:rsidP="00000000" w:rsidRDefault="00000000" w:rsidRPr="00000000" w14:paraId="0000000B">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ab/>
        <w:t xml:space="preserve">Al final, las grandes corporaciones tienen un gran impacto en las redes sociales, ya que son dueñas de ellas y sus beneficios como un medio de comunicación completamente abierto son innegables; en las aplicaciones, pues dado que la computación en la nube implica múltiples ventajas, más para personas o países con recursos limitados, pero son pertenencia de las grandes corporaciones y solo dan servicios gratuitos para poder recopilar datos; y en la inteligencia artificial, pues ha demostrado ser una poderosa herramienta de apoyo para aumentar la productividad empresarial, pero casi todas ellas vienen de la mano de las grandes empresas.</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color w:val="222222"/>
          <w:sz w:val="24"/>
          <w:szCs w:val="24"/>
          <w:highlight w:val="white"/>
          <w:u w:val="single"/>
        </w:rPr>
      </w:pPr>
      <w:r w:rsidDel="00000000" w:rsidR="00000000" w:rsidRPr="00000000">
        <w:rPr>
          <w:rFonts w:ascii="Times New Roman" w:cs="Times New Roman" w:eastAsia="Times New Roman" w:hAnsi="Times New Roman"/>
          <w:b w:val="1"/>
          <w:color w:val="222222"/>
          <w:sz w:val="24"/>
          <w:szCs w:val="24"/>
          <w:highlight w:val="white"/>
          <w:u w:val="single"/>
          <w:rtl w:val="0"/>
        </w:rPr>
        <w:t xml:space="preserve">Referencias:</w:t>
      </w:r>
    </w:p>
    <w:p w:rsidR="00000000" w:rsidDel="00000000" w:rsidP="00000000" w:rsidRDefault="00000000" w:rsidRPr="00000000" w14:paraId="0000000D">
      <w:pPr>
        <w:ind w:left="566.9291338582677" w:hanging="566.9291338582677"/>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Durand, C. (2021). Tecnofeudalismo: la nueva gleba digital. </w:t>
      </w:r>
      <w:r w:rsidDel="00000000" w:rsidR="00000000" w:rsidRPr="00000000">
        <w:rPr>
          <w:rFonts w:ascii="Times New Roman" w:cs="Times New Roman" w:eastAsia="Times New Roman" w:hAnsi="Times New Roman"/>
          <w:i w:val="1"/>
          <w:color w:val="222222"/>
          <w:sz w:val="24"/>
          <w:szCs w:val="24"/>
          <w:highlight w:val="white"/>
          <w:rtl w:val="0"/>
        </w:rPr>
        <w:t xml:space="preserve">Viento Sur</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29</w:t>
      </w:r>
      <w:r w:rsidDel="00000000" w:rsidR="00000000" w:rsidRPr="00000000">
        <w:rPr>
          <w:rFonts w:ascii="Times New Roman" w:cs="Times New Roman" w:eastAsia="Times New Roman" w:hAnsi="Times New Roman"/>
          <w:color w:val="222222"/>
          <w:sz w:val="24"/>
          <w:szCs w:val="24"/>
          <w:highlight w:val="white"/>
          <w:rtl w:val="0"/>
        </w:rPr>
        <w:t xml:space="preserve">.</w:t>
      </w:r>
    </w:p>
    <w:p w:rsidR="00000000" w:rsidDel="00000000" w:rsidP="00000000" w:rsidRDefault="00000000" w:rsidRPr="00000000" w14:paraId="0000000E">
      <w:pPr>
        <w:ind w:left="566.9291338582677" w:hanging="566.9291338582677"/>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Fuentes, I. (2023). Naciones del tecno-feudalismo: una mirada al futuro posible del neoliberalismo tecnológico y digital.</w:t>
      </w:r>
    </w:p>
    <w:p w:rsidR="00000000" w:rsidDel="00000000" w:rsidP="00000000" w:rsidRDefault="00000000" w:rsidRPr="00000000" w14:paraId="0000000F">
      <w:pPr>
        <w:ind w:left="566.9291338582677"/>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García, E. (2017). Cómputo en las nubes, características y beneficios. Cuba y la nube. </w:t>
      </w:r>
      <w:r w:rsidDel="00000000" w:rsidR="00000000" w:rsidRPr="00000000">
        <w:rPr>
          <w:rFonts w:ascii="Times New Roman" w:cs="Times New Roman" w:eastAsia="Times New Roman" w:hAnsi="Times New Roman"/>
          <w:i w:val="1"/>
          <w:color w:val="222222"/>
          <w:sz w:val="24"/>
          <w:szCs w:val="24"/>
          <w:highlight w:val="white"/>
          <w:rtl w:val="0"/>
        </w:rPr>
        <w:t xml:space="preserve">Universidad &amp; ciencia</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6</w:t>
      </w:r>
      <w:r w:rsidDel="00000000" w:rsidR="00000000" w:rsidRPr="00000000">
        <w:rPr>
          <w:rFonts w:ascii="Times New Roman" w:cs="Times New Roman" w:eastAsia="Times New Roman" w:hAnsi="Times New Roman"/>
          <w:color w:val="222222"/>
          <w:sz w:val="24"/>
          <w:szCs w:val="24"/>
          <w:highlight w:val="white"/>
          <w:rtl w:val="0"/>
        </w:rPr>
        <w:t xml:space="preserve">, 15-30.</w:t>
      </w:r>
    </w:p>
    <w:p w:rsidR="00000000" w:rsidDel="00000000" w:rsidP="00000000" w:rsidRDefault="00000000" w:rsidRPr="00000000" w14:paraId="00000010">
      <w:pPr>
        <w:ind w:left="566.9291338582677"/>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García-Peñalvo, F. (2023). Discusión abierta sobre beneficios, riesgos y retos de la Inteligencia Artificial Generativa.</w:t>
      </w:r>
      <w:r w:rsidDel="00000000" w:rsidR="00000000" w:rsidRPr="00000000">
        <w:rPr>
          <w:rtl w:val="0"/>
        </w:rPr>
      </w:r>
    </w:p>
    <w:p w:rsidR="00000000" w:rsidDel="00000000" w:rsidP="00000000" w:rsidRDefault="00000000" w:rsidRPr="00000000" w14:paraId="00000011">
      <w:pPr>
        <w:ind w:left="566.9291338582677" w:hanging="566.9291338582677"/>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Pavón, M. (2012). </w:t>
      </w:r>
      <w:r w:rsidDel="00000000" w:rsidR="00000000" w:rsidRPr="00000000">
        <w:rPr>
          <w:rFonts w:ascii="Times New Roman" w:cs="Times New Roman" w:eastAsia="Times New Roman" w:hAnsi="Times New Roman"/>
          <w:i w:val="1"/>
          <w:color w:val="222222"/>
          <w:sz w:val="24"/>
          <w:szCs w:val="24"/>
          <w:highlight w:val="white"/>
          <w:rtl w:val="0"/>
        </w:rPr>
        <w:t xml:space="preserve">Beneficios rápidos de las redes sociales</w:t>
      </w:r>
      <w:r w:rsidDel="00000000" w:rsidR="00000000" w:rsidRPr="00000000">
        <w:rPr>
          <w:rFonts w:ascii="Times New Roman" w:cs="Times New Roman" w:eastAsia="Times New Roman" w:hAnsi="Times New Roman"/>
          <w:color w:val="222222"/>
          <w:sz w:val="24"/>
          <w:szCs w:val="24"/>
          <w:highlight w:val="white"/>
          <w:rtl w:val="0"/>
        </w:rPr>
        <w:t xml:space="preserve">. Miquel J Pavón Besalú.</w:t>
      </w:r>
    </w:p>
    <w:p w:rsidR="00000000" w:rsidDel="00000000" w:rsidP="00000000" w:rsidRDefault="00000000" w:rsidRPr="00000000" w14:paraId="00000012">
      <w:pPr>
        <w:ind w:left="566.9291338582677" w:hanging="566.9291338582677"/>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Suarez, J. (2018). </w:t>
      </w:r>
      <w:r w:rsidDel="00000000" w:rsidR="00000000" w:rsidRPr="00000000">
        <w:rPr>
          <w:rFonts w:ascii="Times New Roman" w:cs="Times New Roman" w:eastAsia="Times New Roman" w:hAnsi="Times New Roman"/>
          <w:i w:val="1"/>
          <w:color w:val="222222"/>
          <w:sz w:val="24"/>
          <w:szCs w:val="24"/>
          <w:highlight w:val="white"/>
          <w:rtl w:val="0"/>
        </w:rPr>
        <w:t xml:space="preserve">Los beneficios de la inteligencia artificial en el sector empresarial</w:t>
      </w:r>
      <w:r w:rsidDel="00000000" w:rsidR="00000000" w:rsidRPr="00000000">
        <w:rPr>
          <w:rFonts w:ascii="Times New Roman" w:cs="Times New Roman" w:eastAsia="Times New Roman" w:hAnsi="Times New Roman"/>
          <w:color w:val="222222"/>
          <w:sz w:val="24"/>
          <w:szCs w:val="24"/>
          <w:highlight w:val="white"/>
          <w:rtl w:val="0"/>
        </w:rPr>
        <w:t xml:space="preserve"> (Doctoral dissertation, Tesis de grado. Universidad Santo Tomás. Bogotá. Recuperado de https://repository. usta. edu. co/bitstream/handle/11634/12948/2018juliosuarez. pdf).</w:t>
      </w:r>
    </w:p>
    <w:p w:rsidR="00000000" w:rsidDel="00000000" w:rsidP="00000000" w:rsidRDefault="00000000" w:rsidRPr="00000000" w14:paraId="00000013">
      <w:pPr>
        <w:ind w:left="566.9291338582677" w:hanging="566.9291338582677"/>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Tello, A. (2023). Descolonizar la computación a escala planetaria. Inteligencia artificial y planetariedad en la época del Antropoceno. </w:t>
      </w:r>
      <w:r w:rsidDel="00000000" w:rsidR="00000000" w:rsidRPr="00000000">
        <w:rPr>
          <w:rFonts w:ascii="Times New Roman" w:cs="Times New Roman" w:eastAsia="Times New Roman" w:hAnsi="Times New Roman"/>
          <w:i w:val="1"/>
          <w:color w:val="222222"/>
          <w:sz w:val="24"/>
          <w:szCs w:val="24"/>
          <w:highlight w:val="white"/>
          <w:rtl w:val="0"/>
        </w:rPr>
        <w:t xml:space="preserve">Estudios filológicos</w:t>
      </w:r>
      <w:r w:rsidDel="00000000" w:rsidR="00000000" w:rsidRPr="00000000">
        <w:rPr>
          <w:rFonts w:ascii="Times New Roman" w:cs="Times New Roman" w:eastAsia="Times New Roman" w:hAnsi="Times New Roman"/>
          <w:color w:val="222222"/>
          <w:sz w:val="24"/>
          <w:szCs w:val="24"/>
          <w:highlight w:val="white"/>
          <w:rtl w:val="0"/>
        </w:rPr>
        <w:t xml:space="preserve">, (72), 155-173.</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