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lang w:val="en-CA" w:eastAsia="en-CA"/>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lang w:val="en-CA" w:eastAsia="en-CA"/>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lang w:val="en-CA" w:eastAsia="en-CA"/>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lang w:val="en-CA" w:eastAsia="en-CA"/>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lang w:val="en-CA" w:eastAsia="en-CA"/>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lang w:val="en-CA" w:eastAsia="en-CA"/>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83813">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C8381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C83813"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w:t>
        </w:r>
        <w:r w:rsidR="00471E5F" w:rsidRPr="00C83813">
          <w:rPr>
            <w:rStyle w:val="Hyperlink"/>
            <w:noProof/>
          </w:rPr>
          <w:t>s</w:t>
        </w:r>
        <w:r w:rsidR="00471E5F" w:rsidRPr="00C83813">
          <w:rPr>
            <w:rStyle w:val="Hyperlink"/>
            <w:noProof/>
          </w:rPr>
          <w:t xml:space="preserve">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8381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C83813">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C83813">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p w:rsidR="00E576C4" w:rsidRDefault="00B11AE8">
      <w:pPr>
        <w:pStyle w:val="Heading1"/>
      </w:pPr>
      <w:bookmarkStart w:id="15" w:name="_Toc165867471"/>
      <w:bookmarkStart w:id="16" w:name="_Toc418450607"/>
      <w:bookmarkStart w:id="17" w:name="_Toc418512533"/>
      <w:bookmarkStart w:id="18" w:name="_Toc418512696"/>
      <w:bookmarkStart w:id="19" w:name="_Toc418512965"/>
      <w:bookmarkStart w:id="20" w:name="_Toc418519289"/>
      <w:r>
        <w:rPr>
          <w:noProof/>
          <w:lang w:val="en-CA" w:eastAsia="en-CA"/>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lang w:val="en-CA" w:eastAsia="en-CA"/>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gramStart"/>
      <w:r>
        <w:t>triOS</w:t>
      </w:r>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8" w:name="_Toc418519294"/>
      <w:r w:rsidRPr="003D35C6">
        <w:rPr>
          <w:noProof/>
          <w:lang w:val="en-CA" w:eastAsia="en-CA"/>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lang w:val="en-CA" w:eastAsia="en-CA"/>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p w:rsidR="00E576C4" w:rsidRDefault="00B11AE8" w:rsidP="00AD5481">
      <w:pPr>
        <w:pStyle w:val="Heading2"/>
        <w:spacing w:before="0"/>
      </w:pPr>
      <w:bookmarkStart w:id="32" w:name="_Toc418519296"/>
      <w:r>
        <w:rPr>
          <w:noProof/>
          <w:lang w:val="en-CA" w:eastAsia="en-CA"/>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lang w:val="en-CA" w:eastAsia="en-CA"/>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lang w:val="en-CA" w:eastAsia="en-CA"/>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rsidRPr="00407176">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Pr="00407176"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
              <w:spacing w:after="0"/>
              <w:jc w:val="center"/>
              <w:rPr>
                <w:b/>
                <w:bCs/>
              </w:rPr>
            </w:pPr>
            <w:r w:rsidRPr="00407176">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Heading3"/>
            </w:pPr>
            <w:r w:rsidRPr="00407176">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Heading4"/>
              <w:ind w:right="0"/>
              <w:rPr>
                <w:color w:val="auto"/>
              </w:rPr>
            </w:pPr>
            <w:r w:rsidRPr="00407176">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Heading5"/>
              <w:rPr>
                <w:color w:val="auto"/>
              </w:rPr>
            </w:pPr>
            <w:r w:rsidRPr="00407176">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Heading5"/>
              <w:rPr>
                <w:color w:val="auto"/>
              </w:rPr>
            </w:pPr>
            <w:r w:rsidRPr="00407176">
              <w:rPr>
                <w:color w:val="auto"/>
              </w:rPr>
              <w:t>Year 5</w:t>
            </w:r>
          </w:p>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rPr>
                <w:b/>
                <w:bCs/>
              </w:rPr>
            </w:pPr>
            <w:r w:rsidRPr="00407176">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rPr>
                <w:b/>
                <w:bCs/>
              </w:rPr>
            </w:pPr>
            <w:r w:rsidRPr="00407176">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4A6DFF">
            <w:r w:rsidRPr="00407176">
              <w:t>100000</w:t>
            </w:r>
          </w:p>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pStyle w:val="NormalWeb"/>
              <w:spacing w:before="0" w:beforeAutospacing="0" w:after="0" w:afterAutospacing="0"/>
              <w:rPr>
                <w:b/>
                <w:bCs/>
              </w:rPr>
            </w:pPr>
            <w:r w:rsidRPr="00407176">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ind w:left="720"/>
            </w:pPr>
            <w:r w:rsidRPr="00407176">
              <w:t>Operating Costs</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ind w:left="720"/>
            </w:pPr>
            <w:r w:rsidRPr="00407176">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ind w:left="720"/>
            </w:pPr>
            <w:r w:rsidRPr="00407176">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133A0E">
            <w:r w:rsidRPr="00407176">
              <w:t>2000</w:t>
            </w:r>
          </w:p>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rPr>
                <w:b/>
                <w:bCs/>
              </w:rPr>
            </w:pPr>
            <w:r w:rsidRPr="00407176">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rPr>
                <w:b/>
                <w:bCs/>
              </w:rPr>
            </w:pPr>
            <w:r w:rsidRPr="00407176">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Pr="00407176" w:rsidRDefault="005400BB">
            <w:pPr>
              <w:rPr>
                <w:b/>
                <w:bCs/>
              </w:rPr>
            </w:pPr>
            <w:r w:rsidRPr="00407176">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6"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6" w:space="0" w:color="auto"/>
              <w:right w:val="single" w:sz="4" w:space="0" w:color="auto"/>
            </w:tcBorders>
          </w:tcPr>
          <w:p w:rsidR="00E576C4" w:rsidRPr="00407176" w:rsidRDefault="00E576C4"/>
        </w:tc>
      </w:tr>
      <w:tr w:rsidR="00E576C4" w:rsidRPr="00407176">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Pr="00407176" w:rsidRDefault="005400BB">
            <w:pPr>
              <w:rPr>
                <w:b/>
                <w:bCs/>
              </w:rPr>
            </w:pPr>
            <w:r w:rsidRPr="00407176">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Pr="00407176" w:rsidRDefault="00E576C4"/>
        </w:tc>
        <w:tc>
          <w:tcPr>
            <w:tcW w:w="716" w:type="pct"/>
            <w:tcBorders>
              <w:top w:val="single" w:sz="6" w:space="0" w:color="auto"/>
              <w:left w:val="single" w:sz="6" w:space="0" w:color="auto"/>
              <w:bottom w:val="single" w:sz="4" w:space="0" w:color="auto"/>
              <w:right w:val="single" w:sz="6" w:space="0" w:color="auto"/>
            </w:tcBorders>
          </w:tcPr>
          <w:p w:rsidR="00E576C4" w:rsidRPr="00407176" w:rsidRDefault="00E576C4"/>
        </w:tc>
        <w:tc>
          <w:tcPr>
            <w:tcW w:w="750" w:type="pct"/>
            <w:tcBorders>
              <w:top w:val="single" w:sz="6" w:space="0" w:color="auto"/>
              <w:left w:val="single" w:sz="6" w:space="0" w:color="auto"/>
              <w:bottom w:val="single" w:sz="4" w:space="0" w:color="auto"/>
              <w:right w:val="single" w:sz="6" w:space="0" w:color="auto"/>
            </w:tcBorders>
          </w:tcPr>
          <w:p w:rsidR="00E576C4" w:rsidRPr="00407176" w:rsidRDefault="00E576C4"/>
        </w:tc>
        <w:tc>
          <w:tcPr>
            <w:tcW w:w="693" w:type="pct"/>
            <w:tcBorders>
              <w:top w:val="single" w:sz="6" w:space="0" w:color="auto"/>
              <w:left w:val="single" w:sz="6" w:space="0" w:color="auto"/>
              <w:bottom w:val="single" w:sz="4" w:space="0" w:color="auto"/>
              <w:right w:val="single" w:sz="6" w:space="0" w:color="auto"/>
            </w:tcBorders>
          </w:tcPr>
          <w:p w:rsidR="00E576C4" w:rsidRPr="00407176" w:rsidRDefault="00E576C4"/>
        </w:tc>
        <w:tc>
          <w:tcPr>
            <w:tcW w:w="631" w:type="pct"/>
            <w:tcBorders>
              <w:top w:val="single" w:sz="6" w:space="0" w:color="auto"/>
              <w:left w:val="single" w:sz="6" w:space="0" w:color="auto"/>
              <w:bottom w:val="single" w:sz="4" w:space="0" w:color="auto"/>
              <w:right w:val="single" w:sz="4" w:space="0" w:color="auto"/>
            </w:tcBorders>
          </w:tcPr>
          <w:p w:rsidR="00E576C4" w:rsidRPr="00407176" w:rsidRDefault="00E576C4"/>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lang w:val="en-CA" w:eastAsia="en-CA"/>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lang w:val="en-CA" w:eastAsia="en-CA"/>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tabs>
                <w:tab w:val="left" w:pos="1644"/>
                <w:tab w:val="left" w:pos="1692"/>
              </w:tabs>
              <w:jc w:val="center"/>
              <w:rPr>
                <w:color w:val="auto"/>
              </w:rPr>
            </w:pPr>
            <w:r w:rsidRPr="00407176">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ind w:right="12"/>
              <w:jc w:val="center"/>
              <w:rPr>
                <w:color w:val="auto"/>
              </w:rPr>
            </w:pPr>
            <w:r w:rsidRPr="00407176">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9" w:name="_Toc72037065"/>
      <w:bookmarkStart w:id="40" w:name="_Toc418519300"/>
      <w:r>
        <w:lastRenderedPageBreak/>
        <w:t>1. Business Description</w:t>
      </w:r>
      <w:bookmarkEnd w:id="39"/>
      <w:bookmarkEnd w:id="40"/>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lang w:val="en-CA" w:eastAsia="en-CA"/>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1" w:name="_Toc72037066"/>
      <w:bookmarkStart w:id="42" w:name="_Toc418519301"/>
      <w:r>
        <w:t>Industry Overview</w:t>
      </w:r>
      <w:bookmarkEnd w:id="41"/>
      <w:bookmarkEnd w:id="42"/>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3" w:name="_Toc418519302"/>
      <w:r>
        <w:t>1.2 Company Description</w:t>
      </w:r>
      <w:bookmarkEnd w:id="43"/>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lang w:val="en-CA" w:eastAsia="en-CA"/>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4" w:name="_Toc418519303"/>
      <w:r>
        <w:t xml:space="preserve">1.3 </w:t>
      </w:r>
      <w:bookmarkStart w:id="45" w:name="_Toc72037068"/>
      <w:r>
        <w:t>History and Current Status</w:t>
      </w:r>
      <w:bookmarkEnd w:id="44"/>
      <w:bookmarkEnd w:id="4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6" w:name="_Toc72037069"/>
      <w:bookmarkStart w:id="47" w:name="_Toc418519304"/>
      <w:r>
        <w:lastRenderedPageBreak/>
        <w:t>1.4 Goals and Objectives</w:t>
      </w:r>
      <w:bookmarkEnd w:id="46"/>
      <w:bookmarkEnd w:id="47"/>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8" w:name="_Toc72037070"/>
      <w:bookmarkStart w:id="49" w:name="_Toc418519305"/>
      <w:r>
        <w:t>1.5 Critical Success Factors</w:t>
      </w:r>
      <w:bookmarkEnd w:id="48"/>
      <w:bookmarkEnd w:id="49"/>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0"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1" w:name="_Toc418519306"/>
      <w:r>
        <w:rPr>
          <w:noProof/>
          <w:lang w:val="en-CA" w:eastAsia="en-CA"/>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0"/>
      <w:bookmarkEnd w:id="51"/>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2"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3" w:name="_Toc418519307"/>
      <w:r>
        <w:t>1.7 Exit Strategy</w:t>
      </w:r>
      <w:bookmarkEnd w:id="52"/>
      <w:bookmarkEnd w:id="5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4" w:name="_Toc72037073"/>
      <w:bookmarkStart w:id="55" w:name="_Toc418519308"/>
      <w:bookmarkStart w:id="56" w:name="products"/>
      <w:r w:rsidR="00931AEE">
        <w:lastRenderedPageBreak/>
        <w:t>2. Products/</w:t>
      </w:r>
      <w:r>
        <w:t>Services</w:t>
      </w:r>
      <w:bookmarkEnd w:id="54"/>
      <w:bookmarkEnd w:id="55"/>
    </w:p>
    <w:p w:rsidR="00064794" w:rsidRDefault="00064794" w:rsidP="00064794"/>
    <w:p w:rsidR="00E576C4" w:rsidRDefault="00B11AE8" w:rsidP="00064794">
      <w:r>
        <w:rPr>
          <w:noProof/>
          <w:lang w:val="en-CA" w:eastAsia="en-CA"/>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7" w:name="_Toc72037074"/>
      <w:bookmarkStart w:id="58" w:name="_Toc418519309"/>
      <w:bookmarkEnd w:id="56"/>
      <w:r>
        <w:t>2.1 Product/Service Description</w:t>
      </w:r>
      <w:bookmarkEnd w:id="57"/>
      <w:bookmarkEnd w:id="58"/>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lang w:val="en-CA" w:eastAsia="en-CA"/>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59" w:name="_Toc72037075"/>
    </w:p>
    <w:p w:rsidR="00E576C4" w:rsidRDefault="005400BB" w:rsidP="008F411A">
      <w:pPr>
        <w:pStyle w:val="Heading2"/>
        <w:spacing w:before="0" w:after="0"/>
      </w:pPr>
      <w:bookmarkStart w:id="60" w:name="_Toc418519310"/>
      <w:r>
        <w:t>2.2 Unique Features or Proprietary Aspects of Product/Service</w:t>
      </w:r>
      <w:bookmarkEnd w:id="59"/>
      <w:bookmarkEnd w:id="60"/>
    </w:p>
    <w:p w:rsidR="004F35B3" w:rsidRDefault="004F35B3" w:rsidP="00915CA1">
      <w:bookmarkStart w:id="61"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2" w:name="_Toc418519311"/>
      <w:r>
        <w:rPr>
          <w:noProof/>
          <w:lang w:val="en-CA" w:eastAsia="en-CA"/>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1"/>
      <w:bookmarkEnd w:id="6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3" w:name="_Toc72037077"/>
    </w:p>
    <w:p w:rsidR="00E576C4" w:rsidRDefault="005400BB" w:rsidP="001A38FF">
      <w:pPr>
        <w:pStyle w:val="Heading2"/>
        <w:spacing w:before="0"/>
      </w:pPr>
      <w:bookmarkStart w:id="64" w:name="_Toc418519312"/>
      <w:r>
        <w:t>2.4 Production</w:t>
      </w:r>
      <w:bookmarkEnd w:id="63"/>
      <w:bookmarkEnd w:id="64"/>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5" w:name="_Toc418512720"/>
      <w:bookmarkStart w:id="66" w:name="_Toc418512989"/>
      <w:bookmarkStart w:id="67" w:name="_Toc418519313"/>
      <w:bookmarkStart w:id="68"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5"/>
      <w:bookmarkEnd w:id="66"/>
      <w:bookmarkEnd w:id="67"/>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69" w:name="_Toc418519314"/>
      <w:r>
        <w:rPr>
          <w:noProof/>
          <w:lang w:val="en-CA" w:eastAsia="en-CA"/>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8"/>
      <w:bookmarkEnd w:id="69"/>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0" w:name="_Toc72037079"/>
    </w:p>
    <w:p w:rsidR="00860856" w:rsidRPr="006E3611" w:rsidRDefault="00860856" w:rsidP="00860856">
      <w:pPr>
        <w:pStyle w:val="Heading1"/>
      </w:pPr>
      <w:bookmarkStart w:id="71" w:name="_Toc418519315"/>
      <w:r w:rsidRPr="006E3611">
        <w:lastRenderedPageBreak/>
        <w:t>3. The Market</w:t>
      </w:r>
      <w:bookmarkEnd w:id="71"/>
    </w:p>
    <w:p w:rsidR="00860856" w:rsidRDefault="00860856" w:rsidP="00860856">
      <w:pPr>
        <w:pStyle w:val="Heading2"/>
        <w:spacing w:after="0"/>
      </w:pPr>
      <w:bookmarkStart w:id="72" w:name="_Toc418519316"/>
      <w:r w:rsidRPr="006E3611">
        <w:t>3.1 Industry Analysis</w:t>
      </w:r>
      <w:bookmarkEnd w:id="72"/>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lang w:val="en-CA" w:eastAsia="en-CA"/>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lang w:val="en-CA" w:eastAsia="en-CA"/>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3" w:name="_Toc418519317"/>
      <w:r w:rsidRPr="00A224FD">
        <w:t>3.2 Market Analysis</w:t>
      </w:r>
      <w:bookmarkEnd w:id="73"/>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lang w:val="en-CA" w:eastAsia="en-CA"/>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lang w:val="en-CA" w:eastAsia="en-CA"/>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4" w:name="_Toc418519318"/>
      <w:r w:rsidRPr="009E07C4">
        <w:lastRenderedPageBreak/>
        <w:t>3.3 Competitor Analysis</w:t>
      </w:r>
      <w:bookmarkEnd w:id="74"/>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5" w:name="RANGE!A1:D148"/>
            <w:r w:rsidRPr="00C131FC">
              <w:rPr>
                <w:rFonts w:ascii="Calibri" w:eastAsia="Times New Roman" w:hAnsi="Calibri" w:cs="Times New Roman"/>
                <w:b/>
                <w:bCs/>
                <w:color w:val="000000"/>
                <w:sz w:val="12"/>
                <w:szCs w:val="12"/>
              </w:rPr>
              <w:t>COMPETITOR</w:t>
            </w:r>
            <w:bookmarkEnd w:id="75"/>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gramStart"/>
      <w:r>
        <w:t>triOS</w:t>
      </w:r>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lang w:val="en-CA" w:eastAsia="en-CA"/>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lang w:val="en-CA" w:eastAsia="en-CA"/>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lang w:val="en-CA" w:eastAsia="en-CA"/>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6" w:name="_Toc72037083"/>
      <w:bookmarkStart w:id="77" w:name="_Toc418519319"/>
      <w:bookmarkEnd w:id="70"/>
      <w:r w:rsidR="005400BB">
        <w:lastRenderedPageBreak/>
        <w:t>4. Marketing Strategies and Sales</w:t>
      </w:r>
      <w:bookmarkEnd w:id="76"/>
      <w:bookmarkEnd w:id="77"/>
    </w:p>
    <w:p w:rsidR="0049282E" w:rsidRDefault="0049282E" w:rsidP="0049282E"/>
    <w:p w:rsidR="00C0124D" w:rsidRDefault="00C0124D" w:rsidP="0049282E"/>
    <w:p w:rsidR="00E576C4" w:rsidRDefault="005400BB" w:rsidP="00C0124D">
      <w:pPr>
        <w:pStyle w:val="Heading2"/>
        <w:spacing w:before="0" w:after="0"/>
      </w:pPr>
      <w:bookmarkStart w:id="78" w:name="_Toc72037084"/>
      <w:bookmarkStart w:id="79" w:name="_Toc418519320"/>
      <w:r>
        <w:t>4.1 Introduction</w:t>
      </w:r>
      <w:bookmarkEnd w:id="78"/>
      <w:bookmarkEnd w:id="79"/>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0" w:name="_Toc418519321"/>
      <w:r>
        <w:t>4.2 Market Segmentation Strategy</w:t>
      </w:r>
      <w:bookmarkEnd w:id="8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1"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2" w:name="_Toc418519322"/>
      <w:r>
        <w:t>4.3 Targeting Strategy</w:t>
      </w:r>
      <w:bookmarkEnd w:id="82"/>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3" w:name="_Toc418519323"/>
      <w:r w:rsidRPr="00253273">
        <w:t>4.4 Positioning Strategy</w:t>
      </w:r>
      <w:bookmarkEnd w:id="81"/>
      <w:bookmarkEnd w:id="83"/>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4" w:name="_Toc72037086"/>
    </w:p>
    <w:p w:rsidR="00C0124D" w:rsidRPr="00C0124D" w:rsidRDefault="00C0124D" w:rsidP="00C0124D"/>
    <w:p w:rsidR="00E576C4" w:rsidRDefault="005400BB" w:rsidP="00F67B33">
      <w:pPr>
        <w:pStyle w:val="Heading2"/>
        <w:spacing w:before="0" w:after="0"/>
      </w:pPr>
      <w:bookmarkStart w:id="85" w:name="_Toc418519324"/>
      <w:r>
        <w:t>4.5 Product/Service Strategy</w:t>
      </w:r>
      <w:bookmarkEnd w:id="84"/>
      <w:bookmarkEnd w:id="85"/>
      <w:r>
        <w:t xml:space="preserve"> </w:t>
      </w:r>
      <w:bookmarkStart w:id="86"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7" w:name="_Toc418519325"/>
      <w:r>
        <w:t>4.6 Pricing Strategy</w:t>
      </w:r>
      <w:bookmarkEnd w:id="87"/>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8" w:name="_Toc72037088"/>
      <w:bookmarkEnd w:id="86"/>
    </w:p>
    <w:p w:rsidR="00E576C4" w:rsidRDefault="00B11AE8" w:rsidP="00C0124D">
      <w:pPr>
        <w:pStyle w:val="Heading2"/>
        <w:spacing w:before="0" w:after="0"/>
      </w:pPr>
      <w:bookmarkStart w:id="89" w:name="_Toc418519326"/>
      <w:r>
        <w:rPr>
          <w:noProof/>
          <w:lang w:val="en-CA" w:eastAsia="en-CA"/>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8"/>
      <w:bookmarkEnd w:id="8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0" w:name="_Toc72037090"/>
    </w:p>
    <w:p w:rsidR="004E0DA8" w:rsidRDefault="004E0DA8" w:rsidP="004E0DA8">
      <w:pPr>
        <w:pStyle w:val="Heading2"/>
        <w:spacing w:before="0" w:after="0"/>
      </w:pPr>
    </w:p>
    <w:p w:rsidR="00E576C4" w:rsidRDefault="005400BB" w:rsidP="004E0DA8">
      <w:pPr>
        <w:pStyle w:val="Heading2"/>
        <w:spacing w:before="0"/>
      </w:pPr>
      <w:bookmarkStart w:id="91" w:name="_Toc418519327"/>
      <w:r>
        <w:t>4.9 Sales Strategy</w:t>
      </w:r>
      <w:bookmarkEnd w:id="90"/>
      <w:bookmarkEnd w:id="91"/>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2" w:name="_Toc72037091"/>
    </w:p>
    <w:p w:rsidR="004E0DA8" w:rsidRPr="004E0DA8" w:rsidRDefault="004E0DA8" w:rsidP="004E0DA8"/>
    <w:p w:rsidR="00E576C4" w:rsidRDefault="005400BB" w:rsidP="004E0DA8">
      <w:pPr>
        <w:pStyle w:val="Heading2"/>
        <w:spacing w:before="0" w:after="0"/>
      </w:pPr>
      <w:bookmarkStart w:id="93" w:name="_Toc418519328"/>
      <w:r>
        <w:t>4.10 Sales Forecasts</w:t>
      </w:r>
      <w:bookmarkEnd w:id="92"/>
      <w:bookmarkEnd w:id="93"/>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4" w:name="_Toc72037092"/>
      <w:bookmarkStart w:id="95" w:name="_Toc418519329"/>
      <w:r>
        <w:lastRenderedPageBreak/>
        <w:t>5. Development</w:t>
      </w:r>
      <w:bookmarkEnd w:id="94"/>
      <w:bookmarkEnd w:id="95"/>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6" w:name="_Toc72037093"/>
    </w:p>
    <w:p w:rsidR="00E576C4" w:rsidRDefault="005400BB" w:rsidP="007B1D45">
      <w:pPr>
        <w:pStyle w:val="Heading2"/>
        <w:spacing w:before="0" w:after="0"/>
      </w:pPr>
      <w:bookmarkStart w:id="97" w:name="_Toc418519330"/>
      <w:r>
        <w:t>5.1 Development Strategy</w:t>
      </w:r>
      <w:bookmarkEnd w:id="96"/>
      <w:bookmarkEnd w:id="97"/>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8" w:name="_Toc72037094"/>
      <w:bookmarkStart w:id="99" w:name="_Toc418519331"/>
      <w:r>
        <w:t>5.2 Development Timeline</w:t>
      </w:r>
      <w:bookmarkEnd w:id="98"/>
      <w:bookmarkEnd w:id="99"/>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0" w:name="_Toc72037095"/>
      <w:bookmarkStart w:id="101" w:name="_Toc418519332"/>
      <w:r w:rsidRPr="00B02B80">
        <w:lastRenderedPageBreak/>
        <w:t>5.3 Development Expenses</w:t>
      </w:r>
      <w:bookmarkEnd w:id="100"/>
      <w:bookmarkEnd w:id="101"/>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2" w:name="_Toc72037096"/>
      <w:r w:rsidRPr="00B02B80">
        <w:rPr>
          <w:b/>
          <w:sz w:val="27"/>
          <w:szCs w:val="27"/>
        </w:rPr>
        <w:lastRenderedPageBreak/>
        <w:t>6. Management</w:t>
      </w:r>
      <w:bookmarkEnd w:id="102"/>
      <w:r w:rsidR="00B11AE8">
        <w:rPr>
          <w:noProof/>
          <w:lang w:val="en-CA" w:eastAsia="en-CA"/>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lang w:val="en-CA" w:eastAsia="en-CA"/>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3" w:name="_Toc72037097"/>
    </w:p>
    <w:p w:rsidR="00BF6B93" w:rsidRDefault="00BF6B93" w:rsidP="00BF6B93">
      <w:pPr>
        <w:pStyle w:val="Heading2"/>
        <w:spacing w:before="0" w:after="0"/>
      </w:pPr>
    </w:p>
    <w:p w:rsidR="00E576C4" w:rsidRDefault="005400BB" w:rsidP="00BF6B93">
      <w:pPr>
        <w:pStyle w:val="Heading2"/>
        <w:spacing w:before="0" w:after="0"/>
      </w:pPr>
      <w:bookmarkStart w:id="104" w:name="_Toc418519333"/>
      <w:r>
        <w:t>6.1 Company Organization</w:t>
      </w:r>
      <w:bookmarkEnd w:id="103"/>
      <w:bookmarkEnd w:id="104"/>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5" w:name="_Toc72037098"/>
    </w:p>
    <w:p w:rsidR="00E576C4" w:rsidRDefault="005400BB" w:rsidP="00BF6B93">
      <w:pPr>
        <w:pStyle w:val="Heading2"/>
        <w:spacing w:before="0" w:after="0"/>
      </w:pPr>
      <w:bookmarkStart w:id="106" w:name="_Toc418519334"/>
      <w:r>
        <w:t>6.2 Management Team</w:t>
      </w:r>
      <w:bookmarkEnd w:id="105"/>
      <w:bookmarkEnd w:id="106"/>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7" w:name="_Toc418519335"/>
      <w:r w:rsidRPr="00691107">
        <w:t>6.3 Management Structure and Style</w:t>
      </w:r>
      <w:bookmarkEnd w:id="107"/>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8" w:name="_Toc72037099"/>
      <w:bookmarkStart w:id="109" w:name="_Toc418519336"/>
      <w:bookmarkStart w:id="110" w:name="_Toc507942038"/>
      <w:r>
        <w:lastRenderedPageBreak/>
        <w:t>6.4 Ownership</w:t>
      </w:r>
      <w:bookmarkEnd w:id="108"/>
      <w:bookmarkEnd w:id="109"/>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lang w:val="en-CA" w:eastAsia="en-CA"/>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1" w:name="_Toc72037100"/>
      <w:bookmarkEnd w:id="110"/>
    </w:p>
    <w:p w:rsidR="00E576C4" w:rsidRDefault="005400BB">
      <w:pPr>
        <w:pStyle w:val="Heading3"/>
        <w:ind w:left="0"/>
      </w:pPr>
      <w:r>
        <w:t>6.5 Professional and Advisory Support</w:t>
      </w:r>
      <w:bookmarkEnd w:id="111"/>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2" w:name="_Toc72037102"/>
      <w:bookmarkStart w:id="113" w:name="_Toc418519337"/>
      <w:r>
        <w:lastRenderedPageBreak/>
        <w:t>7. Operations</w:t>
      </w:r>
      <w:bookmarkEnd w:id="112"/>
      <w:bookmarkEnd w:id="113"/>
    </w:p>
    <w:p w:rsidR="00C50A91" w:rsidRDefault="00C50A91" w:rsidP="00C50A91">
      <w:pPr>
        <w:rPr>
          <w:rFonts w:eastAsia="Arial Unicode MS"/>
          <w:b/>
          <w:bCs/>
          <w:szCs w:val="22"/>
        </w:rPr>
      </w:pPr>
      <w:bookmarkStart w:id="114" w:name="_Toc72037103"/>
    </w:p>
    <w:p w:rsidR="00A75575" w:rsidRPr="00C50A91" w:rsidRDefault="00A75575" w:rsidP="00C50A91"/>
    <w:p w:rsidR="00E576C4" w:rsidRDefault="005400BB" w:rsidP="00C50A91">
      <w:pPr>
        <w:pStyle w:val="Heading2"/>
        <w:spacing w:before="0" w:after="0"/>
      </w:pPr>
      <w:bookmarkStart w:id="115" w:name="_Toc418519338"/>
      <w:r w:rsidRPr="00C83813">
        <w:t>7.1 Operations Strategy</w:t>
      </w:r>
      <w:bookmarkEnd w:id="114"/>
      <w:bookmarkEnd w:id="115"/>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6" w:name="_Toc72037104"/>
    </w:p>
    <w:p w:rsidR="00EE5553" w:rsidRPr="00EE5553" w:rsidRDefault="00EE5553" w:rsidP="00EE5553">
      <w:pPr>
        <w:pStyle w:val="NormalWeb"/>
        <w:spacing w:before="0" w:beforeAutospacing="0" w:after="0" w:afterAutospacing="0"/>
        <w:ind w:left="720"/>
      </w:pPr>
      <w:bookmarkStart w:id="117" w:name="_GoBack"/>
      <w:bookmarkEnd w:id="117"/>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6"/>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lang w:val="en-CA" w:eastAsia="en-CA"/>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4" w:name="_Toc418519342"/>
      <w:r>
        <w:rPr>
          <w:noProof/>
          <w:lang w:val="en-CA" w:eastAsia="en-CA"/>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lastRenderedPageBreak/>
        <w:t>Licensing and permits</w:t>
      </w:r>
    </w:p>
    <w:p w:rsidR="00E576C4" w:rsidRDefault="005400BB" w:rsidP="00232F59">
      <w:pPr>
        <w:pStyle w:val="NormalWeb"/>
        <w:numPr>
          <w:ilvl w:val="0"/>
          <w:numId w:val="51"/>
        </w:numPr>
        <w:spacing w:after="0" w:afterAutospacing="0"/>
      </w:pPr>
      <w:r>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C83813"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p w:rsidR="004E7607" w:rsidRDefault="004E7607" w:rsidP="00401698">
      <w:pPr>
        <w:pStyle w:val="Heading2"/>
        <w:spacing w:before="0"/>
      </w:pPr>
      <w:bookmarkStart w:id="137" w:name="_Toc418519349"/>
      <w:r>
        <w:rPr>
          <w:noProof/>
          <w:lang w:val="en-CA" w:eastAsia="en-CA"/>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2" w:name="_Toc418519353"/>
      <w:r w:rsidRPr="00CE0422">
        <w:rPr>
          <w:noProof/>
          <w:lang w:val="en-CA" w:eastAsia="en-CA"/>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lang w:val="en-CA" w:eastAsia="en-CA"/>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Pr="00CE0422" w:rsidRDefault="005400BB">
      <w:pPr>
        <w:pStyle w:val="NormalWeb"/>
        <w:rPr>
          <w:color w:val="000000"/>
        </w:rPr>
      </w:pPr>
      <w:r w:rsidRPr="00CE0422">
        <w:rPr>
          <w:color w:val="000000"/>
        </w:rPr>
        <w:t>A "Pro Forma Income Statement" is used to show how things will be under given conditions rather than how they are at present.</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RPr="00CE0422"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Pr="00CE0422"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Pr="00CE0422" w:rsidRDefault="00C80C1E" w:rsidP="00105313">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Pr="00CE0422" w:rsidRDefault="00C80C1E" w:rsidP="00105313">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Pr="00CE0422" w:rsidRDefault="00C80C1E" w:rsidP="00105313">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Pr="00CE0422" w:rsidRDefault="00C80C1E" w:rsidP="00105313">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Pr="00CE0422" w:rsidRDefault="00C80C1E" w:rsidP="00105313">
            <w:pPr>
              <w:pStyle w:val="Heading5"/>
              <w:rPr>
                <w:color w:val="auto"/>
              </w:rPr>
            </w:pPr>
            <w:r w:rsidRPr="00CE0422">
              <w:rPr>
                <w:color w:val="auto"/>
              </w:rPr>
              <w:t>Year 5</w:t>
            </w:r>
          </w:p>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r w:rsidRPr="00CE0422">
              <w:t>100000</w:t>
            </w:r>
          </w:p>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r w:rsidRPr="00CE0422">
              <w:t>2000</w:t>
            </w:r>
          </w:p>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Pr="00CE0422" w:rsidRDefault="00C80C1E" w:rsidP="00105313">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Pr="00CE0422" w:rsidRDefault="00C80C1E" w:rsidP="00105313"/>
        </w:tc>
      </w:tr>
      <w:tr w:rsidR="00C80C1E" w:rsidRPr="00CE0422"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Pr="00CE0422" w:rsidRDefault="00C80C1E" w:rsidP="00105313">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Pr="00CE0422"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Pr="00CE0422"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Pr="00CE0422"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Pr="00CE0422"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Pr="00CE0422" w:rsidRDefault="00C80C1E" w:rsidP="00105313"/>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lastRenderedPageBreak/>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r w:rsidRPr="00A6074A">
        <w:rPr>
          <w:sz w:val="22"/>
          <w:szCs w:val="22"/>
        </w:rPr>
        <w:t xml:space="preserve">Labour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lastRenderedPageBreak/>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lastRenderedPageBreak/>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8" w:name="_Toc418519358"/>
      <w:bookmarkStart w:id="149" w:name="_Toc72037118"/>
      <w:bookmarkStart w:id="150" w:name="offering"/>
      <w:r w:rsidRPr="00782412">
        <w:rPr>
          <w:sz w:val="22"/>
          <w:szCs w:val="22"/>
        </w:rPr>
        <w:t>Labo</w:t>
      </w:r>
      <w:r w:rsidR="000A5AE7">
        <w:rPr>
          <w:sz w:val="22"/>
          <w:szCs w:val="22"/>
        </w:rPr>
        <w:t>u</w:t>
      </w:r>
      <w:r w:rsidRPr="00782412">
        <w:rPr>
          <w:sz w:val="22"/>
          <w:szCs w:val="22"/>
        </w:rPr>
        <w:t>r</w:t>
      </w:r>
      <w:bookmarkEnd w:id="148"/>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lastRenderedPageBreak/>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lastRenderedPageBreak/>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8"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9"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0"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1"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2"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3"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4"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5"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6"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7"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8"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9"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0"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1"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2"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C83813">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C83813">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C83813" w:rsidP="0021257C">
      <w:pPr>
        <w:spacing w:before="100" w:beforeAutospacing="1" w:after="100" w:afterAutospacing="1"/>
      </w:pPr>
      <w:hyperlink r:id="rId33"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6pt;height:37.8pt" o:ole="">
            <v:imagedata r:id="rId34" o:title=""/>
          </v:shape>
          <o:OLEObject Type="Embed" ProgID="Package" ShapeID="_x0000_i1028" DrawAspect="Icon" ObjectID="_1492269569" r:id="rId35"/>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lang w:val="en-CA" w:eastAsia="en-CA"/>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lang w:val="en-CA" w:eastAsia="en-CA"/>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8pt;height:349.8pt" o:ole="">
            <v:imagedata r:id="rId36" o:title=""/>
          </v:shape>
          <o:OLEObject Type="Embed" ProgID="Excel.Sheet.12" ShapeID="_x0000_i1029" DrawAspect="Content" ObjectID="_1492269570" r:id="rId37"/>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lang w:val="en-CA" w:eastAsia="en-CA"/>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lang w:val="en-CA" w:eastAsia="en-CA"/>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9">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0"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25251A" w:rsidP="00356195">
      <w:pPr>
        <w:spacing w:before="100" w:beforeAutospacing="1" w:after="100" w:afterAutospacing="1"/>
      </w:pPr>
      <w:r w:rsidRPr="0025251A">
        <w:rPr>
          <w:noProof/>
          <w:lang w:val="en-CA" w:eastAsia="en-CA"/>
        </w:rPr>
        <w:lastRenderedPageBreak/>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16" w:rsidRDefault="00762916">
      <w:r>
        <w:separator/>
      </w:r>
    </w:p>
  </w:endnote>
  <w:endnote w:type="continuationSeparator" w:id="0">
    <w:p w:rsidR="00762916" w:rsidRDefault="0076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553">
      <w:rPr>
        <w:rStyle w:val="PageNumber"/>
        <w:noProof/>
      </w:rPr>
      <w:t>53</w:t>
    </w:r>
    <w:r>
      <w:rPr>
        <w:rStyle w:val="PageNumber"/>
      </w:rPr>
      <w:fldChar w:fldCharType="end"/>
    </w:r>
  </w:p>
  <w:p w:rsidR="00C83813" w:rsidRDefault="00C83813">
    <w:pPr>
      <w:pStyle w:val="Footer"/>
      <w:ind w:right="360"/>
    </w:pPr>
    <w:r>
      <w:rPr>
        <w:noProof/>
        <w:lang w:val="en-CA" w:eastAsia="en-CA"/>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16" w:rsidRDefault="00762916">
      <w:r>
        <w:separator/>
      </w:r>
    </w:p>
  </w:footnote>
  <w:footnote w:type="continuationSeparator" w:id="0">
    <w:p w:rsidR="00762916" w:rsidRDefault="00762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B192A"/>
    <w:rsid w:val="001B23E2"/>
    <w:rsid w:val="001B3542"/>
    <w:rsid w:val="001B4372"/>
    <w:rsid w:val="001B4BCE"/>
    <w:rsid w:val="001B4CC7"/>
    <w:rsid w:val="001B5E03"/>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5264D"/>
    <w:rsid w:val="006542FB"/>
    <w:rsid w:val="00654425"/>
    <w:rsid w:val="00655EC2"/>
    <w:rsid w:val="00657EFE"/>
    <w:rsid w:val="006604FC"/>
    <w:rsid w:val="006605BC"/>
    <w:rsid w:val="00660FEA"/>
    <w:rsid w:val="00661B60"/>
    <w:rsid w:val="00663839"/>
    <w:rsid w:val="006647C5"/>
    <w:rsid w:val="00670838"/>
    <w:rsid w:val="00671520"/>
    <w:rsid w:val="00676623"/>
    <w:rsid w:val="00680A14"/>
    <w:rsid w:val="00681067"/>
    <w:rsid w:val="00681747"/>
    <w:rsid w:val="00681E49"/>
    <w:rsid w:val="00683296"/>
    <w:rsid w:val="00685894"/>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57AA"/>
    <w:rsid w:val="006B183D"/>
    <w:rsid w:val="006B1EEC"/>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theESA.ca" TargetMode="External"/><Relationship Id="rId26" Type="http://schemas.openxmlformats.org/officeDocument/2006/relationships/hyperlink" Target="http://www.omdc.on.ca/collaboration/research_and_industry_information/industry_profiles/IDM_Industry_Profile.htm" TargetMode="External"/><Relationship Id="rId39" Type="http://schemas.openxmlformats.org/officeDocument/2006/relationships/image" Target="media/image8.png"/><Relationship Id="rId21" Type="http://schemas.openxmlformats.org/officeDocument/2006/relationships/hyperlink" Target="http://libguides.smu.ca/videogaming" TargetMode="External"/><Relationship Id="rId34" Type="http://schemas.openxmlformats.org/officeDocument/2006/relationships/image" Target="media/image5.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candevs.ca" TargetMode="External"/><Relationship Id="rId29" Type="http://schemas.openxmlformats.org/officeDocument/2006/relationships/hyperlink" Target="https://videogamesramapo.wordpress.com/economicbusiness-factors-in-video-games"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AC-Video-Games-Profile-2013-FINAL-2013-10-21-CIRC.pdf" TargetMode="External"/><Relationship Id="rId32" Type="http://schemas.openxmlformats.org/officeDocument/2006/relationships/hyperlink" Target="http://metronews.ca/news/canada/1183860/london-video-game-developer-digital-extremes-bought-by-chicken-company/" TargetMode="External"/><Relationship Id="rId37" Type="http://schemas.openxmlformats.org/officeDocument/2006/relationships/package" Target="embeddings/Microsoft_Excel_Worksheet1.xlsx"/><Relationship Id="rId40" Type="http://schemas.openxmlformats.org/officeDocument/2006/relationships/hyperlink" Target="http://www.omdc.on.ca/" TargetMode="Externa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en.wikipedia.org/wiki/Video_gaming_in_Canada" TargetMode="External"/><Relationship Id="rId28" Type="http://schemas.openxmlformats.org/officeDocument/2006/relationships/hyperlink" Target="http://www.businessreviewcanada.ca/finance/614/Ontario-Still-Seeing-Growth-in-Canada039s-Video-Game-Industry" TargetMode="External"/><Relationship Id="rId36"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yperlink" Target="http://www.omdc.on.ca" TargetMode="External"/><Relationship Id="rId31" Type="http://schemas.openxmlformats.org/officeDocument/2006/relationships/hyperlink" Target="http://www.ic.gc.ca/app/ccc/srch/nvgt.do?lang=eng&amp;prtl=1&amp;estblmntNo=234567089712&amp;profile=cmpltPrfl&amp;profileId=2059&amp;app=sol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cmf-fmc.ca/uploads/reports/35-ciip.pdf" TargetMode="External"/><Relationship Id="rId27"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0" Type="http://schemas.openxmlformats.org/officeDocument/2006/relationships/hyperlink" Target="https://videogamesramapo.wordpress.com/legal-factors-in-video-games" TargetMode="External"/><Relationship Id="rId35" Type="http://schemas.openxmlformats.org/officeDocument/2006/relationships/oleObject" Target="embeddings/oleObject1.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s://appfigures.com" TargetMode="External"/><Relationship Id="rId25" Type="http://schemas.openxmlformats.org/officeDocument/2006/relationships/hyperlink" Target="http://theesa.ca/wp-content/uploads/2013/10/Essential-Facts-English.pdf" TargetMode="External"/><Relationship Id="rId33" Type="http://schemas.openxmlformats.org/officeDocument/2006/relationships/hyperlink" Target="http://www.kijiji.ca/v-commercial-office-space/london/professional-furnished-office-space-downtown/1056147852" TargetMode="External"/><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6A38-0A78-4C00-BD87-41C06EF6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27429</TotalTime>
  <Pages>66</Pages>
  <Words>22363</Words>
  <Characters>127473</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149537</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1309</cp:revision>
  <cp:lastPrinted>2004-05-13T20:19:00Z</cp:lastPrinted>
  <dcterms:created xsi:type="dcterms:W3CDTF">2015-03-23T04:56:00Z</dcterms:created>
  <dcterms:modified xsi:type="dcterms:W3CDTF">2015-05-04T22:33:00Z</dcterms:modified>
</cp:coreProperties>
</file>