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05400A">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05400A">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05400A">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05400A">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 xml:space="preserve">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w:t>
      </w:r>
      <w:r w:rsidRPr="00C14CF4">
        <w:rPr>
          <w:rFonts w:ascii="Georgia" w:eastAsia="Times New Roman" w:hAnsi="Georgia" w:cs="Times New Roman"/>
          <w:color w:val="000000"/>
          <w:sz w:val="21"/>
          <w:szCs w:val="21"/>
        </w:rPr>
        <w:lastRenderedPageBreak/>
        <w:t xml:space="preserve">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05400A">
        <w:fldChar w:fldCharType="begin"/>
      </w:r>
      <w:r w:rsidR="0005400A">
        <w:instrText xml:space="preserve"> HYPERLINK "http://en.wikipedia.org/wiki/BioWare" \o "BioWare" </w:instrText>
      </w:r>
      <w:r w:rsidR="0005400A">
        <w:fldChar w:fldCharType="separate"/>
      </w:r>
      <w:r w:rsidRPr="006E3611">
        <w:rPr>
          <w:rStyle w:val="Hyperlink"/>
          <w:color w:val="auto"/>
          <w:u w:val="none"/>
        </w:rPr>
        <w:t>BioWare</w:t>
      </w:r>
      <w:proofErr w:type="spellEnd"/>
      <w:r w:rsidR="0005400A">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2" w:name="_Toc72037088"/>
    <w:bookmarkStart w:id="73" w:name="_Toc165867507"/>
    <w:bookmarkEnd w:id="70"/>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09"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05400A">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bookmarkStart w:id="121"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6862C0" w:rsidRDefault="00174A95" w:rsidP="00D56B0E">
      <w:proofErr w:type="gramStart"/>
      <w:r>
        <w:t>e</w:t>
      </w:r>
      <w:proofErr w:type="gramEnd"/>
      <w:r>
        <w:t xml:space="preserv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3"/>
    <w:p w:rsidR="00E576C4" w:rsidRDefault="00E576C4"/>
    <w:p w:rsidR="00E576C4" w:rsidRDefault="005400BB">
      <w:pPr>
        <w:pStyle w:val="Heading2"/>
      </w:pPr>
      <w:bookmarkStart w:id="124" w:name="_Toc165867537"/>
      <w:r>
        <w:t>8.4 Operating Forecast</w:t>
      </w:r>
      <w:bookmarkEnd w:id="124"/>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5" w:name="_Toc165867538"/>
      <w:r>
        <w:t>8.5 Break-Even Analysis</w:t>
      </w:r>
      <w:bookmarkEnd w:id="125"/>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6"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6"/>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7" w:name="_Toc165867540"/>
      <w:r>
        <w:t>8.7 Income Statement</w:t>
      </w:r>
      <w:bookmarkEnd w:id="127"/>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8" w:name="OLE_LINK5"/>
      <w:r>
        <w:rPr>
          <w:color w:val="000000"/>
        </w:rPr>
        <w:t>(Please refer to the appendix for</w:t>
      </w:r>
      <w:bookmarkEnd w:id="128"/>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29" w:name="_Toc165867541"/>
      <w:r>
        <w:lastRenderedPageBreak/>
        <w:t>8.8 Cash Flow</w:t>
      </w:r>
      <w:bookmarkEnd w:id="129"/>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D17447" w:rsidRDefault="00D17447" w:rsidP="00D17447">
      <w:pPr>
        <w:pStyle w:val="NormalWeb"/>
      </w:pPr>
    </w:p>
    <w:p w:rsidR="00D17447" w:rsidRDefault="00D17447" w:rsidP="00D17447">
      <w:pPr>
        <w:pStyle w:val="NormalWeb"/>
      </w:pP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w:t>
      </w:r>
      <w:proofErr w:type="spellStart"/>
      <w:r>
        <w:t>hr</w:t>
      </w:r>
      <w:proofErr w:type="spellEnd"/>
      <w:r>
        <w:t xml:space="preserve"> x 40 hours = weekly = $720</w:t>
      </w:r>
    </w:p>
    <w:p w:rsidR="00D17447" w:rsidRDefault="00D17447" w:rsidP="00D17447">
      <w:r>
        <w:t>X 4 weeks = $2880</w:t>
      </w:r>
    </w:p>
    <w:p w:rsidR="00D17447" w:rsidRPr="003A72A3" w:rsidRDefault="00D17447" w:rsidP="00D17447"/>
    <w:p w:rsidR="00D17447" w:rsidRDefault="00D17447" w:rsidP="00D17447">
      <w:r>
        <w:t>TD Labor     $15/</w:t>
      </w:r>
      <w:proofErr w:type="spellStart"/>
      <w:r>
        <w:t>hr</w:t>
      </w:r>
      <w:proofErr w:type="spellEnd"/>
      <w:r>
        <w:t xml:space="preserve">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w:t>
      </w:r>
      <w:proofErr w:type="spellStart"/>
      <w:r>
        <w:t>hr</w:t>
      </w:r>
      <w:proofErr w:type="spellEnd"/>
      <w:r>
        <w:t xml:space="preserve">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w:t>
      </w:r>
      <w:proofErr w:type="spellStart"/>
      <w:r>
        <w:t>hr</w:t>
      </w:r>
      <w:proofErr w:type="spellEnd"/>
      <w:r>
        <w:t xml:space="preserve">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lastRenderedPageBreak/>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proofErr w:type="spellStart"/>
      <w:r>
        <w:t>Alienware</w:t>
      </w:r>
      <w:proofErr w:type="spellEnd"/>
      <w:r>
        <w:t xml:space="preserv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 xml:space="preserve">After a 6 month period I could adopt using Labor B as an increase in wages for the employees since during this time we expect the company will be making some revenue and we will be at a better position financially to </w:t>
      </w:r>
      <w:proofErr w:type="spellStart"/>
      <w:r>
        <w:t>reliev</w:t>
      </w:r>
      <w:proofErr w:type="spellEnd"/>
    </w:p>
    <w:p w:rsidR="00D17447" w:rsidRPr="00897455" w:rsidRDefault="00897455" w:rsidP="00D17447">
      <w:pPr>
        <w:pStyle w:val="NormalWeb"/>
        <w:rPr>
          <w:b/>
          <w:i/>
          <w:sz w:val="22"/>
          <w:szCs w:val="22"/>
          <w:u w:val="single"/>
        </w:rPr>
      </w:pPr>
      <w:proofErr w:type="gramStart"/>
      <w:r>
        <w:rPr>
          <w:b/>
          <w:i/>
          <w:sz w:val="22"/>
          <w:szCs w:val="22"/>
          <w:u w:val="single"/>
        </w:rPr>
        <w:t>Selected  Labor</w:t>
      </w:r>
      <w:proofErr w:type="gramEnd"/>
    </w:p>
    <w:p w:rsidR="00E576C4" w:rsidRDefault="00840AD5">
      <w:pPr>
        <w:pStyle w:val="Heading1"/>
        <w:rPr>
          <w:sz w:val="22"/>
          <w:szCs w:val="22"/>
        </w:rPr>
      </w:pPr>
      <w:bookmarkStart w:id="130" w:name="_Toc72037118"/>
      <w:bookmarkStart w:id="131"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lastRenderedPageBreak/>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2" w:name="_Toc165867542"/>
      <w:r>
        <w:t>9. Funding Request</w:t>
      </w:r>
      <w:bookmarkEnd w:id="130"/>
      <w:bookmarkEnd w:id="131"/>
      <w:bookmarkEnd w:id="132"/>
      <w:r w:rsidR="005A45C3">
        <w:t>s</w:t>
      </w:r>
    </w:p>
    <w:p w:rsidR="005A45C3" w:rsidRPr="005A45C3" w:rsidRDefault="005A45C3" w:rsidP="005A45C3"/>
    <w:p w:rsidR="00E576C4" w:rsidRDefault="005400BB">
      <w:pPr>
        <w:pStyle w:val="Heading2"/>
      </w:pPr>
      <w:bookmarkStart w:id="133" w:name="_Toc72037120"/>
      <w:bookmarkStart w:id="134" w:name="_Toc165867544"/>
      <w:r>
        <w:t>9.1 Capital Requirements</w:t>
      </w:r>
      <w:bookmarkEnd w:id="133"/>
      <w:bookmarkEnd w:id="134"/>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5" w:name="_Toc72037121"/>
      <w:bookmarkStart w:id="136" w:name="_Toc165867545"/>
      <w:r>
        <w:t>9.2 Risk/Opportunity</w:t>
      </w:r>
      <w:bookmarkEnd w:id="135"/>
      <w:bookmarkEnd w:id="136"/>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7" w:name="_Toc72037123"/>
      <w:bookmarkStart w:id="138" w:name="_Toc165867547"/>
      <w:r>
        <w:t>9.3 Exit Strategy</w:t>
      </w:r>
      <w:bookmarkEnd w:id="137"/>
      <w:bookmarkEnd w:id="138"/>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39" w:name="_Toc72037124"/>
      <w:bookmarkStart w:id="140" w:name="_Toc165867548"/>
      <w:r>
        <w:lastRenderedPageBreak/>
        <w:t>10. Refining the Plan</w:t>
      </w:r>
      <w:bookmarkEnd w:id="139"/>
      <w:bookmarkEnd w:id="140"/>
    </w:p>
    <w:p w:rsidR="00E576C4" w:rsidRDefault="005400BB">
      <w:pPr>
        <w:pStyle w:val="Heading2"/>
      </w:pPr>
      <w:bookmarkStart w:id="141" w:name="_Toc72037126"/>
      <w:bookmarkStart w:id="142" w:name="_Toc165867550"/>
      <w:r>
        <w:t>10.1 Refine According to Type of Business</w:t>
      </w:r>
      <w:bookmarkEnd w:id="141"/>
      <w:bookmarkEnd w:id="142"/>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3" w:name="_Toc72037127"/>
      <w:bookmarkStart w:id="144" w:name="_Toc165867551"/>
      <w:r>
        <w:lastRenderedPageBreak/>
        <w:t>11. Appendix</w:t>
      </w:r>
      <w:bookmarkEnd w:id="143"/>
      <w:bookmarkEnd w:id="14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7"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8"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9"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0"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1"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2"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3"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4"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5"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6"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7"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8"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9"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0"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1"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05400A">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05400A">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05400A" w:rsidP="0021257C">
      <w:pPr>
        <w:spacing w:before="100" w:beforeAutospacing="1" w:after="100" w:afterAutospacing="1"/>
      </w:pPr>
      <w:hyperlink r:id="rId32"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3" o:title=""/>
          </v:shape>
          <o:OLEObject Type="Embed" ProgID="Package" ShapeID="_x0000_i1029" DrawAspect="Icon" ObjectID="_1492088453" r:id="rId34"/>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bookmarkStart w:id="145" w:name="_GoBack"/>
    <w:p w:rsidR="002156A0" w:rsidRDefault="000A153B">
      <w:pPr>
        <w:pStyle w:val="NormalWeb"/>
      </w:pPr>
      <w:r>
        <w:object w:dxaOrig="20030" w:dyaOrig="13425">
          <v:shape id="_x0000_i1030" type="#_x0000_t75" style="width:520.5pt;height:349.5pt" o:ole="">
            <v:imagedata r:id="rId35" o:title=""/>
          </v:shape>
          <o:OLEObject Type="Embed" ProgID="Excel.Sheet.12" ShapeID="_x0000_i1030" DrawAspect="Content" ObjectID="_1492088454" r:id="rId36"/>
        </w:object>
      </w:r>
      <w:bookmarkEnd w:id="145"/>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 xml:space="preserve">Total </w:t>
      </w:r>
      <w:proofErr w:type="gramStart"/>
      <w:r>
        <w:t>Labor :</w:t>
      </w:r>
      <w:proofErr w:type="gramEnd"/>
      <w:r>
        <w:t xml:space="preserve">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8B3D52">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8B3D52">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F32A2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F32A2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F32A23">
            <w:pPr>
              <w:pStyle w:val="Heading5"/>
              <w:rPr>
                <w:color w:val="auto"/>
              </w:rPr>
            </w:pPr>
            <w:r>
              <w:rPr>
                <w:color w:val="auto"/>
              </w:rPr>
              <w:t>Year 5</w:t>
            </w:r>
          </w:p>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 xml:space="preserve"> 864</w:t>
            </w:r>
            <w:r>
              <w:t>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F32A2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4" w:space="0" w:color="auto"/>
              <w:right w:val="single" w:sz="4" w:space="0" w:color="auto"/>
            </w:tcBorders>
          </w:tcPr>
          <w:p w:rsidR="00B45E4A" w:rsidRDefault="00B45E4A" w:rsidP="00F32A2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8">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00A" w:rsidRDefault="0005400A">
      <w:r>
        <w:separator/>
      </w:r>
    </w:p>
  </w:endnote>
  <w:endnote w:type="continuationSeparator" w:id="0">
    <w:p w:rsidR="0005400A" w:rsidRDefault="0005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53B">
      <w:rPr>
        <w:rStyle w:val="PageNumber"/>
        <w:noProof/>
      </w:rPr>
      <w:t>70</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00A" w:rsidRDefault="0005400A">
      <w:r>
        <w:separator/>
      </w:r>
    </w:p>
  </w:footnote>
  <w:footnote w:type="continuationSeparator" w:id="0">
    <w:p w:rsidR="0005400A" w:rsidRDefault="000540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34DBD"/>
    <w:rsid w:val="00035916"/>
    <w:rsid w:val="000360FF"/>
    <w:rsid w:val="00037848"/>
    <w:rsid w:val="000412EF"/>
    <w:rsid w:val="000417C4"/>
    <w:rsid w:val="00042C3B"/>
    <w:rsid w:val="00042E08"/>
    <w:rsid w:val="00044372"/>
    <w:rsid w:val="00044FEA"/>
    <w:rsid w:val="00046934"/>
    <w:rsid w:val="00046D18"/>
    <w:rsid w:val="00051008"/>
    <w:rsid w:val="000514DD"/>
    <w:rsid w:val="0005400A"/>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42BC"/>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3710A"/>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D1F6F"/>
    <w:rsid w:val="00AD2279"/>
    <w:rsid w:val="00AD2ABD"/>
    <w:rsid w:val="00AD2EB8"/>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1E09"/>
    <w:rsid w:val="00C82784"/>
    <w:rsid w:val="00C84A4F"/>
    <w:rsid w:val="00C84CE3"/>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omdc.on.ca" TargetMode="External"/><Relationship Id="rId26"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9" Type="http://schemas.openxmlformats.org/officeDocument/2006/relationships/fontTable" Target="fontTable.xml"/><Relationship Id="rId21" Type="http://schemas.openxmlformats.org/officeDocument/2006/relationships/hyperlink" Target="http://www.cmf-fmc.ca/uploads/reports/35-ciip.pdf"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theESA.ca" TargetMode="External"/><Relationship Id="rId25" Type="http://schemas.openxmlformats.org/officeDocument/2006/relationships/hyperlink" Target="http://www.omdc.on.ca/collaboration/research_and_industry_information/industry_profiles/IDM_Industry_Profile.htm" TargetMode="External"/><Relationship Id="rId33" Type="http://schemas.openxmlformats.org/officeDocument/2006/relationships/image" Target="media/image5.emf"/><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libguides.smu.ca/videogaming" TargetMode="External"/><Relationship Id="rId29" Type="http://schemas.openxmlformats.org/officeDocument/2006/relationships/hyperlink" Target="https://videogamesramapo.wordpress.com/legal-factors-in-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heesa.ca/wp-content/uploads/2013/10/Essential-Facts-English.pdf" TargetMode="External"/><Relationship Id="rId32" Type="http://schemas.openxmlformats.org/officeDocument/2006/relationships/hyperlink" Target="http://www.kijiji.ca/v-commercial-office-space/london/professional-furnished-office-space-downtown/1056147852" TargetMode="External"/><Relationship Id="rId37" Type="http://schemas.openxmlformats.org/officeDocument/2006/relationships/image" Target="media/image7.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theesa.ca/wp-content/uploads/2013/10/ESAC-Video-Games-Profile-2013-FINAL-2013-10-21-CIRC.pdf" TargetMode="External"/><Relationship Id="rId28" Type="http://schemas.openxmlformats.org/officeDocument/2006/relationships/hyperlink" Target="https://videogamesramapo.wordpress.com/economicbusiness-factors-in-video-games" TargetMode="External"/><Relationship Id="rId36" Type="http://schemas.openxmlformats.org/officeDocument/2006/relationships/package" Target="embeddings/Microsoft_Excel_Worksheet1.xlsx"/><Relationship Id="rId10" Type="http://schemas.openxmlformats.org/officeDocument/2006/relationships/header" Target="header1.xml"/><Relationship Id="rId19" Type="http://schemas.openxmlformats.org/officeDocument/2006/relationships/hyperlink" Target="http://www.candevs.ca" TargetMode="External"/><Relationship Id="rId31" Type="http://schemas.openxmlformats.org/officeDocument/2006/relationships/hyperlink" Target="http://metronews.ca/news/canada/1183860/london-video-game-developer-digital-extremes-bought-by-chicken-company/"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en.wikipedia.org/wiki/Video_gaming_in_Canada" TargetMode="External"/><Relationship Id="rId27" Type="http://schemas.openxmlformats.org/officeDocument/2006/relationships/hyperlink" Target="http://www.businessreviewcanada.ca/finance/614/Ontario-Still-Seeing-Growth-in-Canada039s-Video-Game-Industry" TargetMode="External"/><Relationship Id="rId30" Type="http://schemas.openxmlformats.org/officeDocument/2006/relationships/hyperlink" Target="http://www.ic.gc.ca/app/ccc/srch/nvgt.do?lang=eng&amp;prtl=1&amp;estblmntNo=234567089712&amp;profile=cmpltPrfl&amp;profileId=2059&amp;app=sold"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29ECC-0B21-4CB4-89EC-B76EB8D9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26037</TotalTime>
  <Pages>77</Pages>
  <Words>23103</Words>
  <Characters>131688</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154483</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1173</cp:revision>
  <cp:lastPrinted>2004-05-13T20:19:00Z</cp:lastPrinted>
  <dcterms:created xsi:type="dcterms:W3CDTF">2015-03-23T04:56:00Z</dcterms:created>
  <dcterms:modified xsi:type="dcterms:W3CDTF">2015-05-02T20:14:00Z</dcterms:modified>
</cp:coreProperties>
</file>