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5"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(ours).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ours).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(ours);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6"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5"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4" w:name="tab:content"/>
    <w:p>
      <w:pPr>
        <w:pStyle w:val="TableCaption"/>
      </w:pPr>
      <w:r>
        <w:t xml:space="preserve">Cosmos 3 isolated content factors across ten states. Each row is a main effect in the disjoint</w:t>
      </w:r>
      <w:r>
        <w:t xml:space="preserve"> </w:t>
      </w:r>
      <m:oMath>
        <m:r>
          <m:t>2</m:t>
        </m:r>
        <m:r>
          <m:rPr>
            <m:sty m:val="p"/>
          </m:rPr>
          <m:t>×</m:t>
        </m:r>
        <m:r>
          <m:t>2</m:t>
        </m:r>
      </m:oMath>
      <w:r>
        <w:t xml:space="preserve"> </w:t>
      </w:r>
      <w:r>
        <w:t xml:space="preserve">pixel transplant. Every 95% state-bootstrap CI is contained within the prespecified equivalence region.</w:t>
      </w:r>
    </w:p>
    <w:tbl>
      <w:tblPr>
        <w:tblStyle w:val="Table"/>
        <w:tblW w:type="auto" w:w="0"/>
        <w:tblLook w:firstRow="1" w:lastRow="0" w:firstColumn="0" w:lastColumn="0" w:noHBand="0" w:noVBand="0" w:val="0020"/>
        <w:tblCaption w:val="Cosmos 3 isolated content factors across ten states. Each row is a main effect in the disjoint 2\times2 pixel transplant. Every 95% state-bootstrap CI is contained within the prespecified equivalence region."/>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Outcome</w:t>
            </w:r>
          </w:p>
        </w:tc>
        <w:tc>
          <w:tcPr/>
          <w:p>
            <w:pPr>
              <w:pStyle w:val="Compact"/>
              <w:jc w:val="center"/>
            </w:pPr>
            <w:r>
              <w:t xml:space="preserve">Effect [95% CI]</w:t>
            </w:r>
          </w:p>
        </w:tc>
        <w:tc>
          <w:tcPr/>
          <w:p>
            <w:pPr>
              <w:pStyle w:val="Compact"/>
              <w:jc w:val="center"/>
            </w:pPr>
            <w:r>
              <w:t xml:space="preserve">Equivalent to zero</w:t>
            </w:r>
          </w:p>
        </w:tc>
      </w:tr>
      <w:tr>
        <w:tc>
          <w:tcPr/>
          <w:p>
            <w:pPr>
              <w:pStyle w:val="Compact"/>
              <w:jc w:val="left"/>
            </w:pPr>
            <w:r>
              <w:t xml:space="preserve">Robot pixels</w:t>
            </w:r>
          </w:p>
        </w:tc>
        <w:tc>
          <w:tcPr/>
          <w:p>
            <w:pPr>
              <w:pStyle w:val="Compact"/>
              <w:jc w:val="left"/>
            </w:pPr>
            <w:r>
              <w:t xml:space="preserve">Action</w:t>
            </w:r>
          </w:p>
        </w:tc>
        <w:tc>
          <w:tcPr/>
          <w:p>
            <w:pPr>
              <w:pStyle w:val="Compact"/>
              <w:jc w:val="center"/>
            </w:pPr>
            <w:r>
              <w:t xml:space="preserve">0.0022 [</w:t>
            </w:r>
            <m:oMath>
              <m:r>
                <m:rPr>
                  <m:sty m:val="p"/>
                </m:rPr>
                <m:t>−</m:t>
              </m:r>
              <m:r>
                <m:t>0.0016</m:t>
              </m:r>
            </m:oMath>
            <w:r>
              <w:t xml:space="preserve">, 0.0060]</w:t>
            </w:r>
          </w:p>
        </w:tc>
        <w:tc>
          <w:tcPr/>
          <w:p>
            <w:pPr>
              <w:pStyle w:val="Compact"/>
              <w:jc w:val="center"/>
            </w:pPr>
            <w:r>
              <w:t xml:space="preserve">Yes</w:t>
            </w:r>
          </w:p>
        </w:tc>
      </w:tr>
      <w:tr>
        <w:tc>
          <w:tcPr/>
          <w:p>
            <w:pPr>
              <w:pStyle w:val="Compact"/>
              <w:jc w:val="left"/>
            </w:pPr>
            <w:r>
              <w:t xml:space="preserve">Robot pixels</w:t>
            </w:r>
          </w:p>
        </w:tc>
        <w:tc>
          <w:tcPr/>
          <w:p>
            <w:pPr>
              <w:pStyle w:val="Compact"/>
              <w:jc w:val="left"/>
            </w:pPr>
            <w:r>
              <w:t xml:space="preserve">Endpoint</w:t>
            </w:r>
          </w:p>
        </w:tc>
        <w:tc>
          <w:tcPr/>
          <w:p>
            <w:pPr>
              <w:pStyle w:val="Compact"/>
              <w:jc w:val="center"/>
            </w:pPr>
            <w:r>
              <w:t xml:space="preserve">0.0102 [</w:t>
            </w:r>
            <m:oMath>
              <m:r>
                <m:rPr>
                  <m:sty m:val="p"/>
                </m:rPr>
                <m:t>−</m:t>
              </m:r>
              <m:r>
                <m:t>0.0067</m:t>
              </m:r>
            </m:oMath>
            <w:r>
              <w:t xml:space="preserve">, 0.0275]</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Action</w:t>
            </w:r>
          </w:p>
        </w:tc>
        <w:tc>
          <w:tcPr/>
          <w:p>
            <w:pPr>
              <w:pStyle w:val="Compact"/>
              <w:jc w:val="center"/>
            </w:pPr>
            <w:r>
              <w:t xml:space="preserve">0.0061 [0.0009, 0.0119]</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Endpoint</w:t>
            </w:r>
          </w:p>
        </w:tc>
        <w:tc>
          <w:tcPr/>
          <w:p>
            <w:pPr>
              <w:pStyle w:val="Compact"/>
              <w:jc w:val="center"/>
            </w:pPr>
            <m:oMath>
              <m:r>
                <m:rPr>
                  <m:sty m:val="p"/>
                </m:rPr>
                <m:t>−</m:t>
              </m:r>
              <m:r>
                <m:t>0.0001</m:t>
              </m:r>
            </m:oMath>
            <w:r>
              <w:t xml:space="preserve"> </w:t>
            </w:r>
            <w:r>
              <w:t xml:space="preserve">[</w:t>
            </w:r>
            <m:oMath>
              <m:r>
                <m:rPr>
                  <m:sty m:val="p"/>
                </m:rPr>
                <m:t>−</m:t>
              </m:r>
              <m:r>
                <m:t>0.0254</m:t>
              </m:r>
            </m:oMath>
            <w:r>
              <w:t xml:space="preserve">, 0.0239]</w:t>
            </w:r>
          </w:p>
        </w:tc>
        <w:tc>
          <w:tcPr/>
          <w:p>
            <w:pPr>
              <w:pStyle w:val="Compact"/>
              <w:jc w:val="center"/>
            </w:pPr>
            <w:r>
              <w:t xml:space="preserve">Yes</w:t>
            </w:r>
          </w:p>
        </w:tc>
      </w:tr>
    </w:tbl>
    <w:bookmarkEnd w:id="34"/>
    <w:bookmarkEnd w:id="35"/>
    <w:bookmarkEnd w:id="36"/>
    <w:bookmarkStart w:id="44"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7"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7"/>
    <w:bookmarkStart w:id="43"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pathway">
        <w:r>
          <w:rPr>
            <w:rStyle w:val="Hyperlink"/>
          </w:rPr>
          <w:t xml:space="preserve">3</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8" w:name="tab:pathway"/>
    <w:p>
      <w:pPr>
        <w:pStyle w:val="TableCaption"/>
      </w:pPr>
      <w:r>
        <w:t xml:space="preserve">Cosmos 3 future-token pathway across 22 states. Each unpatched donor-minus-self effect is shown beside the reduction caused by replacing donor-future K/V with self-future K/V.</w:t>
      </w:r>
      <w:r>
        <w:t xml:space="preserve"> </w:t>
      </w:r>
      <w:r>
        <w:t xml:space="preserve">“Removed”</w:t>
      </w:r>
      <w:r>
        <w:t xml:space="preserve"> </w:t>
      </w:r>
      <w:r>
        <w:t xml:space="preserve">is the ratio of point estimates, not an independently estimated mediation proportion.</w:t>
      </w:r>
    </w:p>
    <w:tbl>
      <w:tblPr>
        <w:tblStyle w:val="Table"/>
        <w:tblW w:type="auto" w:w="0"/>
        <w:tblLook w:firstRow="1" w:lastRow="0" w:firstColumn="0" w:lastColumn="0" w:noHBand="0" w:noVBand="0" w:val="0020"/>
        <w:tblCaption w:val="Cosmos 3 future-token pathway across 22 states. Each unpatched donor-minus-self effect is shown beside the reduction caused by replacing donor-future K/V with self-future K/V. “Removed” is the ratio of point estimates, not an independently estimated mediation proportion."/>
      </w:tblPr>
      <w:tblGrid>
        <w:gridCol w:w="1980"/>
        <w:gridCol w:w="1980"/>
        <w:gridCol w:w="1980"/>
        <w:gridCol w:w="1980"/>
      </w:tblGrid>
      <w:tr>
        <w:trPr>
          <w:tblHeader w:val="on"/>
        </w:trPr>
        <w:tc>
          <w:tcPr/>
          <w:p>
            <w:pPr>
              <w:pStyle w:val="Compact"/>
              <w:jc w:val="left"/>
            </w:pPr>
            <w:r>
              <w:t xml:space="preserve">Outcome</w:t>
            </w:r>
          </w:p>
        </w:tc>
        <w:tc>
          <w:tcPr/>
          <w:p>
            <w:pPr>
              <w:pStyle w:val="Compact"/>
              <w:jc w:val="center"/>
            </w:pPr>
            <w:r>
              <w:t xml:space="preserve">Unpatched steering</w:t>
            </w:r>
          </w:p>
        </w:tc>
        <w:tc>
          <w:tcPr/>
          <w:p>
            <w:pPr>
              <w:pStyle w:val="Compact"/>
              <w:jc w:val="center"/>
            </w:pPr>
            <w:r>
              <w:t xml:space="preserve">K/V replacement loss</w:t>
            </w:r>
          </w:p>
        </w:tc>
        <w:tc>
          <w:tcPr/>
          <w:p>
            <w:pPr>
              <w:pStyle w:val="Compact"/>
              <w:jc w:val="center"/>
            </w:pPr>
            <w:r>
              <w:t xml:space="preserve">Point estimate removed</w:t>
            </w:r>
          </w:p>
        </w:tc>
      </w:tr>
      <w:tr>
        <w:tc>
          <w:tcPr/>
          <w:p>
            <w:pPr>
              <w:pStyle w:val="Compact"/>
              <w:jc w:val="left"/>
            </w:pPr>
            <w:r>
              <w:t xml:space="preserve">Predicted action</w:t>
            </w:r>
          </w:p>
        </w:tc>
        <w:tc>
          <w:tcPr/>
          <w:p>
            <w:pPr>
              <w:pStyle w:val="Compact"/>
              <w:jc w:val="center"/>
            </w:pPr>
            <w:r>
              <w:t xml:space="preserve">0.992 [0.972, 1.010]</w:t>
            </w:r>
          </w:p>
        </w:tc>
        <w:tc>
          <w:tcPr/>
          <w:p>
            <w:pPr>
              <w:pStyle w:val="Compact"/>
              <w:jc w:val="center"/>
            </w:pPr>
            <w:r>
              <w:t xml:space="preserve">0.877 [0.842, 0.910]</w:t>
            </w:r>
          </w:p>
        </w:tc>
        <w:tc>
          <w:tcPr/>
          <w:p>
            <w:pPr>
              <w:pStyle w:val="Compact"/>
              <w:jc w:val="center"/>
            </w:pPr>
            <w:r>
              <w:t xml:space="preserve">88%</w:t>
            </w:r>
          </w:p>
        </w:tc>
      </w:tr>
      <w:tr>
        <w:tc>
          <w:tcPr/>
          <w:p>
            <w:pPr>
              <w:pStyle w:val="Compact"/>
              <w:jc w:val="left"/>
            </w:pPr>
            <w:r>
              <w:t xml:space="preserve">Executed action</w:t>
            </w:r>
          </w:p>
        </w:tc>
        <w:tc>
          <w:tcPr/>
          <w:p>
            <w:pPr>
              <w:pStyle w:val="Compact"/>
              <w:jc w:val="center"/>
            </w:pPr>
            <w:r>
              <w:t xml:space="preserve">0.983 [0.890, 1.064]</w:t>
            </w:r>
          </w:p>
        </w:tc>
        <w:tc>
          <w:tcPr/>
          <w:p>
            <w:pPr>
              <w:pStyle w:val="Compact"/>
              <w:jc w:val="center"/>
            </w:pPr>
            <w:r>
              <w:t xml:space="preserve">0.814 [0.723, 0.900]</w:t>
            </w:r>
          </w:p>
        </w:tc>
        <w:tc>
          <w:tcPr/>
          <w:p>
            <w:pPr>
              <w:pStyle w:val="Compact"/>
              <w:jc w:val="center"/>
            </w:pPr>
            <w:r>
              <w:t xml:space="preserve">83%</w:t>
            </w:r>
          </w:p>
        </w:tc>
      </w:tr>
      <w:tr>
        <w:tc>
          <w:tcPr/>
          <w:p>
            <w:pPr>
              <w:pStyle w:val="Compact"/>
              <w:jc w:val="left"/>
            </w:pPr>
            <w:r>
              <w:t xml:space="preserve">Executed endpoint</w:t>
            </w:r>
          </w:p>
        </w:tc>
        <w:tc>
          <w:tcPr/>
          <w:p>
            <w:pPr>
              <w:pStyle w:val="Compact"/>
              <w:jc w:val="center"/>
            </w:pPr>
            <w:r>
              <w:t xml:space="preserve">1.003 [0.950, 1.050]</w:t>
            </w:r>
          </w:p>
        </w:tc>
        <w:tc>
          <w:tcPr/>
          <w:p>
            <w:pPr>
              <w:pStyle w:val="Compact"/>
              <w:jc w:val="center"/>
            </w:pPr>
            <w:r>
              <w:t xml:space="preserve">0.851 [0.766, 0.922]</w:t>
            </w:r>
          </w:p>
        </w:tc>
        <w:tc>
          <w:tcPr/>
          <w:p>
            <w:pPr>
              <w:pStyle w:val="Compact"/>
              <w:jc w:val="center"/>
            </w:pPr>
            <w:r>
              <w:t xml:space="preserve">85%</w:t>
            </w:r>
          </w:p>
        </w:tc>
      </w:tr>
    </w:tbl>
    <w:bookmarkEnd w:id="38"/>
    <w:bookmarkStart w:id="42" w:name="fig:mechanisms"/>
    <w:p>
      <w:pPr>
        <w:pStyle w:val="CaptionedFigure"/>
      </w:pPr>
      <w:r>
        <w:drawing>
          <wp:inline>
            <wp:extent cx="5334000" cy="1924272"/>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2"/>
    <w:bookmarkEnd w:id="43"/>
    <w:bookmarkEnd w:id="44"/>
    <w:bookmarkEnd w:id="45"/>
    <w:bookmarkStart w:id="48"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6"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6"/>
    <w:bookmarkStart w:id="47"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7"/>
    <w:bookmarkEnd w:id="48"/>
    <w:bookmarkStart w:id="49"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9"/>
    <w:bookmarkStart w:id="50"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0"/>
    <w:bookmarkStart w:id="100"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9" w:name="refs"/>
    <w:bookmarkStart w:id="52"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1">
        <w:r>
          <w:rPr>
            <w:rStyle w:val="Hyperlink"/>
          </w:rPr>
          <w:t xml:space="preserve">https://proceedings.neurips.cc/paper_files/paper/2023/hash/1d5b9233ad716a43be5c0d3023cb82d0-Abstract.html</w:t>
        </w:r>
      </w:hyperlink>
      <w:r>
        <w:t xml:space="preserve">.</w:t>
      </w:r>
    </w:p>
    <w:bookmarkEnd w:id="52"/>
    <w:bookmarkStart w:id="54"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3">
        <w:r>
          <w:rPr>
            <w:rStyle w:val="Hyperlink"/>
          </w:rPr>
          <w:t xml:space="preserve">https://openreview.net/forum?id=9pKtcJcMP3</w:t>
        </w:r>
      </w:hyperlink>
      <w:r>
        <w:t xml:space="preserve">.</w:t>
      </w:r>
    </w:p>
    <w:bookmarkEnd w:id="54"/>
    <w:bookmarkStart w:id="56"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5">
        <w:r>
          <w:rPr>
            <w:rStyle w:val="Hyperlink"/>
          </w:rPr>
          <w:t xml:space="preserve">https://arxiv.org/abs/1812.00568</w:t>
        </w:r>
      </w:hyperlink>
      <w:r>
        <w:t xml:space="preserve">.</w:t>
      </w:r>
    </w:p>
    <w:bookmarkEnd w:id="56"/>
    <w:bookmarkStart w:id="58"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7">
        <w:r>
          <w:rPr>
            <w:rStyle w:val="Hyperlink"/>
          </w:rPr>
          <w:t xml:space="preserve">https://doi.org/10.1111/j.1467-9868.2007.00593.x</w:t>
        </w:r>
      </w:hyperlink>
      <w:r>
        <w:t xml:space="preserve">.</w:t>
      </w:r>
    </w:p>
    <w:bookmarkEnd w:id="58"/>
    <w:bookmarkStart w:id="60"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9">
        <w:r>
          <w:rPr>
            <w:rStyle w:val="Hyperlink"/>
          </w:rPr>
          <w:t xml:space="preserve">https://doi.org/10.48550/arXiv.2304.05969</w:t>
        </w:r>
      </w:hyperlink>
      <w:r>
        <w:t xml:space="preserve">.</w:t>
      </w:r>
    </w:p>
    <w:bookmarkEnd w:id="60"/>
    <w:bookmarkStart w:id="62"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1">
        <w:r>
          <w:rPr>
            <w:rStyle w:val="Hyperlink"/>
          </w:rPr>
          <w:t xml:space="preserve">https://doi.org/10.52202/079017-3570</w:t>
        </w:r>
      </w:hyperlink>
      <w:r>
        <w:t xml:space="preserve">.</w:t>
      </w:r>
    </w:p>
    <w:bookmarkEnd w:id="62"/>
    <w:bookmarkStart w:id="64"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3">
        <w:r>
          <w:rPr>
            <w:rStyle w:val="Hyperlink"/>
          </w:rPr>
          <w:t xml:space="preserve">https://proceedings.mlr.press/v267/hu25g.html</w:t>
        </w:r>
      </w:hyperlink>
      <w:r>
        <w:t xml:space="preserve">.</w:t>
      </w:r>
    </w:p>
    <w:bookmarkEnd w:id="64"/>
    <w:bookmarkStart w:id="66"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5">
        <w:r>
          <w:rPr>
            <w:rStyle w:val="Hyperlink"/>
          </w:rPr>
          <w:t xml:space="preserve">https://openreview.net/forum?id=wPEIStHxYH</w:t>
        </w:r>
      </w:hyperlink>
      <w:r>
        <w:t xml:space="preserve">.</w:t>
      </w:r>
    </w:p>
    <w:bookmarkEnd w:id="66"/>
    <w:bookmarkStart w:id="68"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7">
        <w:r>
          <w:rPr>
            <w:rStyle w:val="Hyperlink"/>
          </w:rPr>
          <w:t xml:space="preserve">https://doi.org/10.1177/1948550617697177</w:t>
        </w:r>
      </w:hyperlink>
      <w:r>
        <w:t xml:space="preserve">.</w:t>
      </w:r>
    </w:p>
    <w:bookmarkEnd w:id="68"/>
    <w:bookmarkStart w:id="70"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9">
        <w:r>
          <w:rPr>
            <w:rStyle w:val="Hyperlink"/>
          </w:rPr>
          <w:t xml:space="preserve">https://doi.org/10.48550/arXiv.2503.00200</w:t>
        </w:r>
      </w:hyperlink>
      <w:r>
        <w:t xml:space="preserve">.</w:t>
      </w:r>
    </w:p>
    <w:bookmarkEnd w:id="70"/>
    <w:bookmarkStart w:id="72"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1">
        <w:r>
          <w:rPr>
            <w:rStyle w:val="Hyperlink"/>
          </w:rPr>
          <w:t xml:space="preserve">https://doi.org/10.52202/075280-1939</w:t>
        </w:r>
      </w:hyperlink>
      <w:r>
        <w:t xml:space="preserve">.</w:t>
      </w:r>
    </w:p>
    <w:bookmarkEnd w:id="72"/>
    <w:bookmarkStart w:id="74"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3">
        <w:r>
          <w:rPr>
            <w:rStyle w:val="Hyperlink"/>
          </w:rPr>
          <w:t xml:space="preserve">https://doi.org/10.52202/068431-1262</w:t>
        </w:r>
      </w:hyperlink>
      <w:r>
        <w:t xml:space="preserve">.</w:t>
      </w:r>
    </w:p>
    <w:bookmarkEnd w:id="74"/>
    <w:bookmarkStart w:id="76"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5">
        <w:r>
          <w:rPr>
            <w:rStyle w:val="Hyperlink"/>
          </w:rPr>
          <w:t xml:space="preserve">https://doi.org/10.15607/RSS.2024.XX.050</w:t>
        </w:r>
      </w:hyperlink>
      <w:r>
        <w:t xml:space="preserve">.</w:t>
      </w:r>
    </w:p>
    <w:bookmarkEnd w:id="76"/>
    <w:bookmarkStart w:id="78"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7">
        <w:r>
          <w:rPr>
            <w:rStyle w:val="Hyperlink"/>
          </w:rPr>
          <w:t xml:space="preserve">https://doi.org/10.48550/arXiv.2606.02800</w:t>
        </w:r>
      </w:hyperlink>
      <w:r>
        <w:t xml:space="preserve">.</w:t>
      </w:r>
    </w:p>
    <w:bookmarkEnd w:id="78"/>
    <w:bookmarkStart w:id="80"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9">
        <w:r>
          <w:rPr>
            <w:rStyle w:val="Hyperlink"/>
          </w:rPr>
          <w:t xml:space="preserve">https://huggingface.co/nvidia/Cosmos3-Nano-Policy-DROID</w:t>
        </w:r>
      </w:hyperlink>
      <w:r>
        <w:t xml:space="preserve">.</w:t>
      </w:r>
    </w:p>
    <w:bookmarkEnd w:id="80"/>
    <w:bookmarkStart w:id="82"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1">
        <w:r>
          <w:rPr>
            <w:rStyle w:val="Hyperlink"/>
          </w:rPr>
          <w:t xml:space="preserve">https://doi.org/10.48550/arXiv.2606.12217</w:t>
        </w:r>
      </w:hyperlink>
      <w:r>
        <w:t xml:space="preserve">.</w:t>
      </w:r>
    </w:p>
    <w:bookmarkEnd w:id="82"/>
    <w:bookmarkStart w:id="84"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3">
        <w:r>
          <w:rPr>
            <w:rStyle w:val="Hyperlink"/>
          </w:rPr>
          <w:t xml:space="preserve">https://doi.org/10.48550/arXiv.2606.27510</w:t>
        </w:r>
      </w:hyperlink>
      <w:r>
        <w:t xml:space="preserve">.</w:t>
      </w:r>
    </w:p>
    <w:bookmarkEnd w:id="84"/>
    <w:bookmarkStart w:id="86"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5">
        <w:r>
          <w:rPr>
            <w:rStyle w:val="Hyperlink"/>
          </w:rPr>
          <w:t xml:space="preserve">https://proceedings.neurips.cc/paper/2020/hash/92650b2e92217715fe312e6fa7b90d82-Abstract.html</w:t>
        </w:r>
      </w:hyperlink>
      <w:r>
        <w:t xml:space="preserve">.</w:t>
      </w:r>
    </w:p>
    <w:bookmarkEnd w:id="86"/>
    <w:bookmarkStart w:id="88"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7">
        <w:r>
          <w:rPr>
            <w:rStyle w:val="Hyperlink"/>
          </w:rPr>
          <w:t xml:space="preserve">https://doi.org/10.15607/RSS.2026.XXII.096</w:t>
        </w:r>
      </w:hyperlink>
      <w:r>
        <w:t xml:space="preserve">.</w:t>
      </w:r>
    </w:p>
    <w:bookmarkEnd w:id="88"/>
    <w:bookmarkStart w:id="90"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9">
        <w:r>
          <w:rPr>
            <w:rStyle w:val="Hyperlink"/>
          </w:rPr>
          <w:t xml:space="preserve">https://doi.org/10.48550/arXiv.2602.15922</w:t>
        </w:r>
      </w:hyperlink>
      <w:r>
        <w:t xml:space="preserve">.</w:t>
      </w:r>
    </w:p>
    <w:bookmarkEnd w:id="90"/>
    <w:bookmarkStart w:id="92"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1">
        <w:r>
          <w:rPr>
            <w:rStyle w:val="Hyperlink"/>
          </w:rPr>
          <w:t xml:space="preserve">https://doi.org/10.48550/arXiv.2603.16666</w:t>
        </w:r>
      </w:hyperlink>
      <w:r>
        <w:t xml:space="preserve">.</w:t>
      </w:r>
    </w:p>
    <w:bookmarkEnd w:id="92"/>
    <w:bookmarkStart w:id="94"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3">
        <w:r>
          <w:rPr>
            <w:rStyle w:val="Hyperlink"/>
          </w:rPr>
          <w:t xml:space="preserve">https://doi.org/10.48550/arXiv.2608.11521</w:t>
        </w:r>
      </w:hyperlink>
      <w:r>
        <w:t xml:space="preserve">.</w:t>
      </w:r>
    </w:p>
    <w:bookmarkEnd w:id="94"/>
    <w:bookmarkStart w:id="96"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5">
        <w:r>
          <w:rPr>
            <w:rStyle w:val="Hyperlink"/>
          </w:rPr>
          <w:t xml:space="preserve">https://openreview.net/forum?id=Hf17y6u9BC</w:t>
        </w:r>
      </w:hyperlink>
      <w:r>
        <w:t xml:space="preserve">.</w:t>
      </w:r>
    </w:p>
    <w:bookmarkEnd w:id="96"/>
    <w:bookmarkStart w:id="98"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7">
        <w:r>
          <w:rPr>
            <w:rStyle w:val="Hyperlink"/>
          </w:rPr>
          <w:t xml:space="preserve">https://doi.org/10.48550/arXiv.2608.04404</w:t>
        </w:r>
      </w:hyperlink>
      <w:r>
        <w:t xml:space="preserve">.</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9" Type="http://schemas.openxmlformats.org/officeDocument/2006/relationships/image" Target="media/rId39.png"/><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2026-09-02T10:22:33Z</dcterms:created>
  <dcterms:modified xsi:type="dcterms:W3CDTF">2026-09-02T10:22:33Z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