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insert one run’s future into the other while holding the current observation, instruction, sampling noise, and denoising schedule fixed. If future content matters, the recomputed action should move specifically toward the action associated with the donor future.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normalized recipient-to-donor scale. Replacing donor-run future-token keys and values with self-future counterparts reduces predicted-action steering by</w:t>
      </w:r>
      <w:r>
        <w:t xml:space="preserve"> </w:t>
      </w:r>
      <m:oMath>
        <m:r>
          <m:t>0.877</m:t>
        </m:r>
      </m:oMath>
      <w:r>
        <w:t xml:space="preserve">,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future could be irrelevant to the action, serve as a generic workspace, encode the robot motion already paired with the action, or represent task consequences used to choose among actions.</w:t>
      </w:r>
    </w:p>
    <w:p>
      <w:pPr>
        <w:pStyle w:val="BodyText"/>
      </w:pPr>
      <w:r>
        <w:t xml:space="preserve">These alternatives imply different functional roles. A policy that conditions action inference on predicted future observations resembles an inverse-dynamics interface</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A system that generates alternatives and compares their predicted outcomes with a cost or learned heuristic more closely resembles explicit visual planning</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The inference procedures evaluated here do not generate and score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This establishes dependence on a structured future interface, but a destructive intervention does not say what a particular coherent alternative future tells the policy to do. A damaged representation can move an action in any direction.</w:t>
      </w:r>
    </w:p>
    <w:p>
      <w:pPr>
        <w:pStyle w:val="BodyText"/>
      </w:pPr>
      <w:r>
        <w:t xml:space="preserve">Our test is directional. From the same restored state, two native policy continuations define a recipient and a donor. We insert the donor future into the recipient computation while retaining the recipient’s current inputs and random draws. The model never receives the donor action; we use it only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in that direction. A future whose content controls behavior should.</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257800" cy="169545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257800" cy="1695450"/>
                    </a:xfrm>
                    <a:prstGeom prst="rect">
                      <a:avLst/>
                    </a:prstGeom>
                    <a:noFill/>
                    <a:ln w="9525">
                      <a:noFill/>
                      <a:headEnd/>
                      <a:tailEnd/>
                    </a:ln>
                  </pic:spPr>
                </pic:pic>
              </a:graphicData>
            </a:graphic>
          </wp:inline>
        </w:drawing>
      </w:r>
    </w:p>
    <w:p>
      <w:pPr>
        <w:pStyle w:val="ImageCaption"/>
      </w:pPr>
      <w:r>
        <w:t xml:space="preserve">Reachable-donor future transplantation. Two unmodified continuations start from the same simulator state. The recipient is recomputed with the donor future while its other inputs and random draws remain fixed. Signed projections measure movement from recipient behavior (0) toward donor behavior (1); K/V replacement then tests whether future-token activations carry that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we exchange two coherent, policy-generated alternatives and ask whether behavior follows the selected donor.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 and</w:t>
      </w:r>
      <w:r>
        <w:t xml:space="preserve"> </w:t>
      </w:r>
      <m:oMath>
        <m:r>
          <m:t>B</m:t>
        </m:r>
      </m:oMath>
      <w:r>
        <w:t xml:space="preserve"> </w:t>
      </w:r>
      <w:r>
        <w:t xml:space="preserve">the donor.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also reverse the branch roles.</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and the donor is 1; negative values move away from the donor and values above 1 overshoot it.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For Cosmos 3, identity layout capture, sampler wrapping, cache record/replay, and self patches reproduce actions bitwise; sentinels confirm that the transplant does not directly write to action coordinates. Executed-future conditions encode video from reachable donor actions and replay the same environment prefix before intervention.</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Prespecified primary sign-test</w:t>
      </w:r>
      <w:r>
        <w:t xml:space="preserve"> </w:t>
      </w:r>
      <m:oMath>
        <m:r>
          <m:t>p</m:t>
        </m:r>
      </m:oMath>
      <w:r>
        <w:t xml:space="preserve">-values use Holm correction.</w:t>
      </w:r>
    </w:p>
    <w:bookmarkEnd w:id="23"/>
    <w:bookmarkEnd w:id="24"/>
    <w:bookmarkStart w:id="42" w:name="sec:results"/>
    <w:p>
      <w:pPr>
        <w:pStyle w:val="Heading1"/>
      </w:pPr>
      <w:r>
        <w:t xml:space="preserve">Results</w:t>
      </w:r>
    </w:p>
    <w:bookmarkStart w:id="31" w:name="sec:steering"/>
    <w:p>
      <w:pPr>
        <w:pStyle w:val="Heading2"/>
      </w:pPr>
      <w:r>
        <w:t xml:space="preserve">Do coherent futures steer behavior?</w:t>
      </w:r>
    </w:p>
    <w:p>
      <w:pPr>
        <w:pStyle w:val="FirstParagraph"/>
      </w:pPr>
      <w:r>
        <w:t xml:space="preserve">Coherent donor futures move both the recipient’s action and its one-chunk simulator endpoint toward the donor. The effect is strongest at the first queried state.</w:t>
      </w:r>
    </w:p>
    <w:bookmarkStart w:id="25" w:name="cosmos-3.-1"/>
    <w:p>
      <w:pPr>
        <w:pStyle w:val="Heading4"/>
      </w:pPr>
      <w:r>
        <w:t xml:space="preserve">Cosmos 3.</w:t>
      </w:r>
    </w:p>
    <w:p>
      <w:pPr>
        <w:pStyle w:val="FirstParagraph"/>
      </w:pPr>
      <w:r>
        <w:t xml:space="preserve">Across 22 completed states and all six tasks, predicted-future action steering is</w:t>
      </w:r>
      <w:r>
        <w:t xml:space="preserve"> </w:t>
      </w:r>
      <m:oMath>
        <m:r>
          <m:t>0.992</m:t>
        </m:r>
      </m:oMath>
      <w:r>
        <w:t xml:space="preserve"> </w:t>
      </w:r>
      <w:r>
        <w:t xml:space="preserve">(95% state-bootstrap CI</w:t>
      </w:r>
      <w:r>
        <w:t xml:space="preserve"> </w:t>
      </w:r>
      <m:oMath>
        <m:r>
          <m:rPr>
            <m:sty m:val="p"/>
          </m:rPr>
          <m:t>[</m:t>
        </m:r>
        <m:r>
          <m:t>0.972</m:t>
        </m:r>
        <m:r>
          <m:rPr>
            <m:sty m:val="p"/>
          </m:rPr>
          <m:t>,</m:t>
        </m:r>
        <m:r>
          <m:t>1.010</m:t>
        </m:r>
        <m:r>
          <m:rPr>
            <m:sty m:val="p"/>
          </m:rPr>
          <m:t>]</m:t>
        </m:r>
      </m:oMath>
      <w:r>
        <w:t xml:space="preserve">), positive in 22/22 states. Relative to the natural-future control, the effect is</w:t>
      </w:r>
      <w:r>
        <w:t xml:space="preserve"> </w:t>
      </w:r>
      <m:oMath>
        <m:r>
          <m:t>0.433</m:t>
        </m:r>
      </m:oMath>
      <w:r>
        <w:t xml:space="preserve"> </w:t>
      </w:r>
      <w:r>
        <w:t xml:space="preserve">(</w:t>
      </w:r>
      <m:oMath>
        <m:r>
          <m:rPr>
            <m:sty m:val="p"/>
          </m:rPr>
          <m:t>[</m:t>
        </m:r>
        <m:r>
          <m:t>0.332</m:t>
        </m:r>
        <m:r>
          <m:rPr>
            <m:sty m:val="p"/>
          </m:rPr>
          <m:t>,</m:t>
        </m:r>
        <m:r>
          <m:t>0.538</m:t>
        </m:r>
        <m:r>
          <m:rPr>
            <m:sty m:val="p"/>
          </m:rPr>
          <m:t>]</m:t>
        </m:r>
      </m:oMath>
      <w:r>
        <w:t xml:space="preserve">) larger. Futures encoded from executed donor branches produce nearly the same result: action steering is</w:t>
      </w:r>
      <w:r>
        <w:t xml:space="preserve"> </w:t>
      </w:r>
      <m:oMath>
        <m:r>
          <m:t>0.983</m:t>
        </m:r>
      </m:oMath>
      <w:r>
        <w:t xml:space="preserve"> </w:t>
      </w:r>
      <w:r>
        <w:t xml:space="preserve">(</w:t>
      </w:r>
      <m:oMath>
        <m:r>
          <m:rPr>
            <m:sty m:val="p"/>
          </m:rPr>
          <m:t>[</m:t>
        </m:r>
        <m:r>
          <m:t>0.890</m:t>
        </m:r>
        <m:r>
          <m:rPr>
            <m:sty m:val="p"/>
          </m:rPr>
          <m:t>,</m:t>
        </m:r>
        <m:r>
          <m:t>1.064</m:t>
        </m:r>
        <m:r>
          <m:rPr>
            <m:sty m:val="p"/>
          </m:rPr>
          <m:t>]</m:t>
        </m:r>
      </m:oMath>
      <w:r>
        <w:t xml:space="preserve">), and executing the recomputed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Both are positive in all 22 states. Executed-future action steering also exceeds the geometry-matched Gaussian control by</w:t>
      </w:r>
      <w:r>
        <w:t xml:space="preserve"> </w:t>
      </w:r>
      <m:oMath>
        <m:r>
          <m:t>0.941</m:t>
        </m:r>
      </m:oMath>
      <w:r>
        <w:t xml:space="preserve"> </w:t>
      </w:r>
      <w:r>
        <w:t xml:space="preserve">(</w:t>
      </w:r>
      <m:oMath>
        <m:r>
          <m:rPr>
            <m:sty m:val="p"/>
          </m:rPr>
          <m:t>[</m:t>
        </m:r>
        <m:r>
          <m:t>0.837</m:t>
        </m:r>
        <m:r>
          <m:rPr>
            <m:sty m:val="p"/>
          </m:rPr>
          <m:t>,</m:t>
        </m:r>
        <m:r>
          <m:t>1.032</m:t>
        </m:r>
        <m:r>
          <m:rPr>
            <m:sty m:val="p"/>
          </m:rPr>
          <m:t>]</m:t>
        </m:r>
      </m:oMath>
      <w:r>
        <w:t xml:space="preserve">) and the natural control by</w:t>
      </w:r>
      <w:r>
        <w:t xml:space="preserve"> </w:t>
      </w:r>
      <m:oMath>
        <m:r>
          <m:t>0.391</m:t>
        </m:r>
      </m:oMath>
      <w:r>
        <w:t xml:space="preserve"> </w:t>
      </w:r>
      <w:r>
        <w:t xml:space="preserve">(</w:t>
      </w:r>
      <m:oMath>
        <m:r>
          <m:rPr>
            <m:sty m:val="p"/>
          </m:rPr>
          <m:t>[</m:t>
        </m:r>
        <m:r>
          <m:t>0.246</m:t>
        </m:r>
        <m:r>
          <m:rPr>
            <m:sty m:val="p"/>
          </m:rPr>
          <m:t>,</m:t>
        </m:r>
        <m:r>
          <m:t>0.533</m:t>
        </m:r>
        <m:r>
          <m:rPr>
            <m:sty m:val="p"/>
          </m:rPr>
          <m:t>]</m:t>
        </m:r>
      </m:oMath>
      <w:r>
        <w:t xml:space="preserve">). Task-balanced analyses preserve these conclusions. A separate four-task engineering study identifies the correct donor in 12/12 cases for both future sources.</w:t>
      </w:r>
    </w:p>
    <w:bookmarkEnd w:id="25"/>
    <w:bookmarkStart w:id="30" w:name="cosmos-policy.-1"/>
    <w:p>
      <w:pPr>
        <w:pStyle w:val="Heading4"/>
      </w:pPr>
      <w:r>
        <w:t xml:space="preserve">Cosmos Policy.</w:t>
      </w:r>
    </w:p>
    <w:p>
      <w:pPr>
        <w:pStyle w:val="FirstParagraph"/>
      </w:pPr>
      <w:r>
        <w:t xml:space="preserve">At the first query, donor-minus-self action steering is</w:t>
      </w:r>
      <w:r>
        <w:t xml:space="preserve"> </w:t>
      </w:r>
      <m:oMath>
        <m:r>
          <m:t>0.499</m:t>
        </m:r>
      </m:oMath>
      <w:r>
        <w:t xml:space="preserve"> </w:t>
      </w:r>
      <w:r>
        <w:t xml:space="preserve">(</w:t>
      </w:r>
      <m:oMath>
        <m:r>
          <m:rPr>
            <m:sty m:val="p"/>
          </m:rPr>
          <m:t>[</m:t>
        </m:r>
        <m:r>
          <m:t>0.336</m:t>
        </m:r>
        <m:r>
          <m:rPr>
            <m:sty m:val="p"/>
          </m:rPr>
          <m:t>,</m:t>
        </m:r>
        <m:r>
          <m:t>0.679</m:t>
        </m:r>
        <m:r>
          <m:rPr>
            <m:sty m:val="p"/>
          </m:rPr>
          <m:t>]</m:t>
        </m:r>
      </m:oMath>
      <w:r>
        <w:t xml:space="preserve">), positive in all ten tasks. The executed endpoint shifts by</w:t>
      </w:r>
      <w:r>
        <w:t xml:space="preserve"> </w:t>
      </w:r>
      <m:oMath>
        <m:r>
          <m:t>0.552</m:t>
        </m:r>
      </m:oMath>
      <w:r>
        <w:t xml:space="preserve"> </w:t>
      </w:r>
      <w:r>
        <w:t xml:space="preserve">(</w:t>
      </w:r>
      <m:oMath>
        <m:r>
          <m:rPr>
            <m:sty m:val="p"/>
          </m:rPr>
          <m:t>[</m:t>
        </m:r>
        <m:r>
          <m:t>0.387</m:t>
        </m:r>
        <m:r>
          <m:rPr>
            <m:sty m:val="p"/>
          </m:rPr>
          <m:t>,</m:t>
        </m:r>
        <m:r>
          <m:t>0.728</m:t>
        </m:r>
        <m:r>
          <m:rPr>
            <m:sty m:val="p"/>
          </m:rPr>
          <m:t>]</m:t>
        </m:r>
      </m:oMath>
      <w:r>
        <w:t xml:space="preserve">), also positive in all ten. Action steering remains positive relative to Gaussian (</w:t>
      </w:r>
      <m:oMath>
        <m:r>
          <m:t>0.497</m:t>
        </m:r>
      </m:oMath>
      <w:r>
        <w:t xml:space="preserve">), natural (</w:t>
      </w:r>
      <m:oMath>
        <m:r>
          <m:t>0.103</m:t>
        </m:r>
      </m:oMath>
      <w:r>
        <w:t xml:space="preserve">), and shuffled-future (</w:t>
      </w:r>
      <m:oMath>
        <m:r>
          <m:t>0.255</m:t>
        </m:r>
      </m:oMath>
      <w:r>
        <w:t xml:space="preserve">) controls; the corresponding endpoint contrasts are</w:t>
      </w:r>
      <w:r>
        <w:t xml:space="preserve"> </w:t>
      </w:r>
      <m:oMath>
        <m:r>
          <m:t>0.549</m:t>
        </m:r>
      </m:oMath>
      <w:r>
        <w:t xml:space="preserve">,</w:t>
      </w:r>
      <w:r>
        <w:t xml:space="preserve"> </w:t>
      </w:r>
      <m:oMath>
        <m:r>
          <m:t>0.110</m:t>
        </m:r>
      </m:oMath>
      <w:r>
        <w:t xml:space="preserve">, and</w:t>
      </w:r>
      <w:r>
        <w:t xml:space="preserve"> </w:t>
      </w:r>
      <m:oMath>
        <m:r>
          <m:t>0.277</m:t>
        </m:r>
      </m:oMath>
      <w:r>
        <w:t xml:space="preserve">. Secondary control intervals were not available. The later sampled states show much smaller effects: after three chunks, action and endpoint steering are</w:t>
      </w:r>
      <w:r>
        <w:t xml:space="preserve"> </w:t>
      </w:r>
      <m:oMath>
        <m:r>
          <m:t>0.031</m:t>
        </m:r>
      </m:oMath>
      <w:r>
        <w:t xml:space="preserve"> </w:t>
      </w:r>
      <w:r>
        <w:t xml:space="preserve">and</w:t>
      </w:r>
      <w:r>
        <w:t xml:space="preserve"> </w:t>
      </w:r>
      <m:oMath>
        <m:r>
          <m:t>0.004</m:t>
        </m:r>
      </m:oMath>
      <w:r>
        <w:t xml:space="preserve">; after six, they are</w:t>
      </w:r>
      <w:r>
        <w:t xml:space="preserve"> </w:t>
      </w:r>
      <m:oMath>
        <m:r>
          <m:t>0.027</m:t>
        </m:r>
      </m:oMath>
      <w:r>
        <w:t xml:space="preserve"> </w:t>
      </w:r>
      <w:r>
        <w:t xml:space="preserve">and</w:t>
      </w:r>
      <w:r>
        <w:t xml:space="preserve"> </w:t>
      </w:r>
      <m:oMath>
        <m:r>
          <m:t>0.025</m:t>
        </m:r>
      </m:oMath>
      <w:r>
        <w:t xml:space="preserve"> </w:t>
      </w:r>
      <w:r>
        <w:t xml:space="preserve">(Figure </w:t>
      </w:r>
      <w:hyperlink w:anchor="fig:policy">
        <w:r>
          <w:rPr>
            <w:rStyle w:val="Hyperlink"/>
          </w:rPr>
          <w:t xml:space="preserve">2</w:t>
        </w:r>
      </w:hyperlink>
      <w:r>
        <w:t xml:space="preserve">). Because each time point uses a different state, this pattern is an association with state and timing, not a causal estimate of temporal decay.</w:t>
      </w:r>
    </w:p>
    <w:bookmarkStart w:id="29" w:name="fig:policy"/>
    <w:p>
      <w:pPr>
        <w:pStyle w:val="CaptionedFigure"/>
      </w:pPr>
      <w:r>
        <w:drawing>
          <wp:inline>
            <wp:extent cx="5334000" cy="1624818"/>
            <wp:effectExtent b="0" l="0" r="0" t="0"/>
            <wp:docPr descr="" title="" id="27" name="Picture"/>
            <a:graphic>
              <a:graphicData uri="http://schemas.openxmlformats.org/drawingml/2006/picture">
                <pic:pic>
                  <pic:nvPicPr>
                    <pic:cNvPr descr="figures/directionality_results.png" id="28" name="Picture"/>
                    <pic:cNvPicPr>
                      <a:picLocks noChangeArrowheads="1" noChangeAspect="1"/>
                    </pic:cNvPicPr>
                  </pic:nvPicPr>
                  <pic:blipFill>
                    <a:blip r:embed="rId26"/>
                    <a:stretch>
                      <a:fillRect/>
                    </a:stretch>
                  </pic:blipFill>
                  <pic:spPr bwMode="auto">
                    <a:xfrm>
                      <a:off x="0" y="0"/>
                      <a:ext cx="5334000" cy="1624818"/>
                    </a:xfrm>
                    <a:prstGeom prst="rect">
                      <a:avLst/>
                    </a:prstGeom>
                    <a:noFill/>
                    <a:ln w="9525">
                      <a:noFill/>
                      <a:headEnd/>
                      <a:tailEnd/>
                    </a:ln>
                  </pic:spPr>
                </pic:pic>
              </a:graphicData>
            </a:graphic>
          </wp:inline>
        </w:drawing>
      </w:r>
    </w:p>
    <w:p>
      <w:pPr>
        <w:pStyle w:val="ImageCaption"/>
      </w:pPr>
      <w:r>
        <w:t xml:space="preserve">Cosmos Policy results. (a) Donor-minus-self action and endpoint steering is large at first-query states and small at later registered states. (b) At first-query states, visual futures carry the action effect, whereas future proprioception does not. Points are state means; bars are 95% state-bootstrap intervals where reported. The dashed line is the prespecified</w:t>
      </w:r>
      <w:r>
        <w:t xml:space="preserve"> </w:t>
      </w:r>
      <m:oMath>
        <m:r>
          <m:t>0.10</m:t>
        </m:r>
      </m:oMath>
      <w:r>
        <w:t xml:space="preserve"> </w:t>
      </w:r>
      <w:r>
        <w:t xml:space="preserve">threshold.</w:t>
      </w:r>
    </w:p>
    <w:bookmarkEnd w:id="29"/>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0"/>
    <w:bookmarkEnd w:id="31"/>
    <w:bookmarkStart w:id="34"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2"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In the 20-state</w:t>
      </w:r>
      <w:r>
        <w:t xml:space="preserve"> </w:t>
      </w:r>
      <m:oMath>
        <m:r>
          <m:t>2</m:t>
        </m:r>
        <m:r>
          <m:rPr>
            <m:sty m:val="p"/>
          </m:rPr>
          <m:t>×</m:t>
        </m:r>
        <m:r>
          <m:t>2</m:t>
        </m:r>
      </m:oMath>
      <w:r>
        <w:t xml:space="preserve"> </w:t>
      </w:r>
      <w:r>
        <w:t xml:space="preserve">study, decoded futures identify the intended cell with 92.5% primary-camera and 98.75% wrist-camera accuracy. Despite this,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2"/>
    <w:bookmarkStart w:id="33" w:name="cosmos-3.-2"/>
    <w:p>
      <w:pPr>
        <w:pStyle w:val="Heading4"/>
      </w:pPr>
      <w:r>
        <w:t xml:space="preserve">Cosmos 3.</w:t>
      </w:r>
    </w:p>
    <w:p>
      <w:pPr>
        <w:pStyle w:val="FirstParagraph"/>
      </w:pPr>
      <w:r>
        <w:t xml:space="preserve">Across ten factor-study states and all six tasks, the isolated robot-pixel effect is</w:t>
      </w:r>
      <w:r>
        <w:t xml:space="preserve"> </w:t>
      </w:r>
      <m:oMath>
        <m:r>
          <m:t>0.0022</m:t>
        </m:r>
      </m:oMath>
      <w:r>
        <w:t xml:space="preserve"> </w:t>
      </w:r>
      <w:r>
        <w:t xml:space="preserve">(</w:t>
      </w:r>
      <m:oMath>
        <m:r>
          <m:rPr>
            <m:sty m:val="p"/>
          </m:rPr>
          <m:t>[</m:t>
        </m:r>
        <m:r>
          <m:rPr>
            <m:sty m:val="p"/>
          </m:rPr>
          <m:t>−</m:t>
        </m:r>
        <m:r>
          <m:t>0.0016</m:t>
        </m:r>
        <m:r>
          <m:rPr>
            <m:sty m:val="p"/>
          </m:rPr>
          <m:t>,</m:t>
        </m:r>
        <m:r>
          <m:t>0.0060</m:t>
        </m:r>
        <m:r>
          <m:rPr>
            <m:sty m:val="p"/>
          </m:rPr>
          <m:t>]</m:t>
        </m:r>
      </m:oMath>
      <w:r>
        <w:t xml:space="preserve">) for action and</w:t>
      </w:r>
      <w:r>
        <w:t xml:space="preserve"> </w:t>
      </w:r>
      <m:oMath>
        <m:r>
          <m:t>0.0102</m:t>
        </m:r>
      </m:oMath>
      <w:r>
        <w:t xml:space="preserve"> </w:t>
      </w:r>
      <w:r>
        <w:t xml:space="preserve">(</w:t>
      </w:r>
      <m:oMath>
        <m:r>
          <m:rPr>
            <m:sty m:val="p"/>
          </m:rPr>
          <m:t>[</m:t>
        </m:r>
        <m:r>
          <m:rPr>
            <m:sty m:val="p"/>
          </m:rPr>
          <m:t>−</m:t>
        </m:r>
        <m:r>
          <m:t>0.0067</m:t>
        </m:r>
        <m:r>
          <m:rPr>
            <m:sty m:val="p"/>
          </m:rPr>
          <m:t>,</m:t>
        </m:r>
        <m:r>
          <m:t>0.0275</m:t>
        </m:r>
        <m:r>
          <m:rPr>
            <m:sty m:val="p"/>
          </m:rPr>
          <m:t>]</m:t>
        </m:r>
      </m:oMath>
      <w:r>
        <w:t xml:space="preserve">) for the full executed endpoint. The isolated object-pixel effect is</w:t>
      </w:r>
      <w:r>
        <w:t xml:space="preserve"> </w:t>
      </w:r>
      <m:oMath>
        <m:r>
          <m:t>0.0061</m:t>
        </m:r>
      </m:oMath>
      <w:r>
        <w:t xml:space="preserve"> </w:t>
      </w:r>
      <w:r>
        <w:t xml:space="preserve">(</w:t>
      </w:r>
      <m:oMath>
        <m:r>
          <m:rPr>
            <m:sty m:val="p"/>
          </m:rPr>
          <m:t>[</m:t>
        </m:r>
        <m:r>
          <m:t>0.0009</m:t>
        </m:r>
        <m:r>
          <m:rPr>
            <m:sty m:val="p"/>
          </m:rPr>
          <m:t>,</m:t>
        </m:r>
        <m:r>
          <m:t>0.0119</m:t>
        </m:r>
        <m:r>
          <m:rPr>
            <m:sty m:val="p"/>
          </m:rPr>
          <m:t>]</m:t>
        </m:r>
      </m:oMath>
      <w:r>
        <w:t xml:space="preserve">) for action and</w:t>
      </w:r>
      <w:r>
        <w:t xml:space="preserve"> </w:t>
      </w:r>
      <m:oMath>
        <m:r>
          <m:rPr>
            <m:sty m:val="p"/>
          </m:rPr>
          <m:t>−</m:t>
        </m:r>
        <m:r>
          <m:t>0.0001</m:t>
        </m:r>
      </m:oMath>
      <w:r>
        <w:t xml:space="preserve"> </w:t>
      </w:r>
      <w:r>
        <w:t xml:space="preserve">(</w:t>
      </w:r>
      <m:oMath>
        <m:r>
          <m:rPr>
            <m:sty m:val="p"/>
          </m:rPr>
          <m:t>[</m:t>
        </m:r>
        <m:r>
          <m:rPr>
            <m:sty m:val="p"/>
          </m:rPr>
          <m:t>−</m:t>
        </m:r>
        <m:r>
          <m:t>0.0254</m:t>
        </m:r>
        <m:r>
          <m:rPr>
            <m:sty m:val="p"/>
          </m:rPr>
          <m:t>,</m:t>
        </m:r>
        <m:r>
          <m:t>0.0239</m:t>
        </m:r>
        <m:r>
          <m:rPr>
            <m:sty m:val="p"/>
          </m:rPr>
          <m:t>]</m:t>
        </m:r>
      </m:oMath>
      <w:r>
        <w:t xml:space="preserve">) for the endpoint. Every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region, and task-balanced estimates agree. Neither factor alone recreates a meaningful fraction of coherent steering (Figure </w:t>
      </w:r>
      <w:hyperlink w:anchor="fig:cosmos3">
        <w:r>
          <w:rPr>
            <w:rStyle w:val="Hyperlink"/>
          </w:rPr>
          <w:t xml:space="preserve">3</w:t>
        </w:r>
      </w:hyperlink>
      <w:r>
        <w:t xml:space="preserve">c). The effect may depend on information distributed across the coherent future or on nonlinear interactions among content, masks, and tokenization. These experiments do not establish that the two factors are jointly necessary.</w:t>
      </w:r>
    </w:p>
    <w:bookmarkEnd w:id="33"/>
    <w:bookmarkEnd w:id="34"/>
    <w:bookmarkStart w:id="41"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5"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5"/>
    <w:bookmarkStart w:id="40"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reduces predicted-future action projection by</w:t>
      </w:r>
      <w:r>
        <w:t xml:space="preserve"> </w:t>
      </w:r>
      <m:oMath>
        <m:r>
          <m:t>0.877</m:t>
        </m:r>
      </m:oMath>
      <w:r>
        <w:t xml:space="preserve"> </w:t>
      </w:r>
      <w:r>
        <w:t xml:space="preserve">(</w:t>
      </w:r>
      <m:oMath>
        <m:r>
          <m:rPr>
            <m:sty m:val="p"/>
          </m:rPr>
          <m:t>[</m:t>
        </m:r>
        <m:r>
          <m:t>0.842</m:t>
        </m:r>
        <m:r>
          <m:rPr>
            <m:sty m:val="p"/>
          </m:rPr>
          <m:t>,</m:t>
        </m:r>
        <m:r>
          <m:t>0.910</m:t>
        </m:r>
        <m:r>
          <m:rPr>
            <m:sty m:val="p"/>
          </m:rPr>
          <m:t>]</m:t>
        </m:r>
      </m:oMath>
      <w:r>
        <w:t xml:space="preserve">), with a positive reduction in 22/22 states. For executed futures, the action reduction is</w:t>
      </w:r>
      <w:r>
        <w:t xml:space="preserve"> </w:t>
      </w:r>
      <m:oMath>
        <m:r>
          <m:t>0.814</m:t>
        </m:r>
      </m:oMath>
      <w:r>
        <w:t xml:space="preserve"> </w:t>
      </w:r>
      <w:r>
        <w:t xml:space="preserve">(</w:t>
      </w:r>
      <m:oMath>
        <m:r>
          <m:rPr>
            <m:sty m:val="p"/>
          </m:rPr>
          <m:t>[</m:t>
        </m:r>
        <m:r>
          <m:t>0.723</m:t>
        </m:r>
        <m:r>
          <m:rPr>
            <m:sty m:val="p"/>
          </m:rPr>
          <m:t>,</m:t>
        </m:r>
        <m:r>
          <m:t>0.900</m:t>
        </m:r>
        <m:r>
          <m:rPr>
            <m:sty m:val="p"/>
          </m:rPr>
          <m:t>]</m:t>
        </m:r>
      </m:oMath>
      <w:r>
        <w:t xml:space="preserve">) and the executed-endpoint reduction is</w:t>
      </w:r>
      <w:r>
        <w:t xml:space="preserve"> </w:t>
      </w:r>
      <m:oMath>
        <m:r>
          <m:t>0.851</m:t>
        </m:r>
      </m:oMath>
      <w:r>
        <w:t xml:space="preserve"> </w:t>
      </w:r>
      <w:r>
        <w:t xml:space="preserve">(</w:t>
      </w:r>
      <m:oMath>
        <m:r>
          <m:rPr>
            <m:sty m:val="p"/>
          </m:rPr>
          <m:t>[</m:t>
        </m:r>
        <m:r>
          <m:t>0.766</m:t>
        </m:r>
        <m:r>
          <m:rPr>
            <m:sty m:val="p"/>
          </m:rPr>
          <m:t>,</m:t>
        </m:r>
        <m:r>
          <m:t>0.922</m:t>
        </m:r>
        <m:r>
          <m:rPr>
            <m:sty m:val="p"/>
          </m:rPr>
          <m:t>]</m:t>
        </m:r>
      </m:oMath>
      <w:r>
        <w:t xml:space="preserve">), again positive in every state.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this intervention keeps token count fixed and does not mask attention positions, it shows that the future-token K/V interface carries donor-directed information. It does not establish a unique or complete circuit.</w:t>
      </w:r>
    </w:p>
    <w:bookmarkStart w:id="39" w:name="fig:cosmos3"/>
    <w:p>
      <w:pPr>
        <w:pStyle w:val="CaptionedFigure"/>
      </w:pPr>
      <w:r>
        <w:drawing>
          <wp:inline>
            <wp:extent cx="5334000" cy="1644539"/>
            <wp:effectExtent b="0" l="0" r="0" t="0"/>
            <wp:docPr descr="" title="" id="37" name="Picture"/>
            <a:graphic>
              <a:graphicData uri="http://schemas.openxmlformats.org/drawingml/2006/picture">
                <pic:pic>
                  <pic:nvPicPr>
                    <pic:cNvPr descr="figures/pathway_results.png" id="38" name="Picture"/>
                    <pic:cNvPicPr>
                      <a:picLocks noChangeArrowheads="1" noChangeAspect="1"/>
                    </pic:cNvPicPr>
                  </pic:nvPicPr>
                  <pic:blipFill>
                    <a:blip r:embed="rId36"/>
                    <a:stretch>
                      <a:fillRect/>
                    </a:stretch>
                  </pic:blipFill>
                  <pic:spPr bwMode="auto">
                    <a:xfrm>
                      <a:off x="0" y="0"/>
                      <a:ext cx="5334000" cy="1644539"/>
                    </a:xfrm>
                    <a:prstGeom prst="rect">
                      <a:avLst/>
                    </a:prstGeom>
                    <a:noFill/>
                    <a:ln w="9525">
                      <a:noFill/>
                      <a:headEnd/>
                      <a:tailEnd/>
                    </a:ln>
                  </pic:spPr>
                </pic:pic>
              </a:graphicData>
            </a:graphic>
          </wp:inline>
        </w:drawing>
      </w:r>
    </w:p>
    <w:p>
      <w:pPr>
        <w:pStyle w:val="ImageCaption"/>
      </w:pPr>
      <w:r>
        <w:t xml:space="preserve">Cosmos 3 population results. (a) Coherent predicted and executed futures steer actions, outperform natural controls, and move one-chunk simulator endpoints toward the donor across 22 states and six tasks. (b) Replacing donor-run future-token K/V with self-future K/V removes most donor-directed action and endpoint projection. (c) In ten factor-study states, isolated robot- and object-pixel effects lie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region. Bars are 95% state-bootstrap intervals.</w:t>
      </w:r>
    </w:p>
    <w:bookmarkEnd w:id="39"/>
    <w:bookmarkEnd w:id="40"/>
    <w:bookmarkEnd w:id="41"/>
    <w:bookmarkEnd w:id="42"/>
    <w:bookmarkStart w:id="45"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This goes beyond showing sensitivity to generic corruption, but the two checkpoints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We do not test candidate generation, outcome comparison, or value-based selection, and we do not establish an effect on binary task success.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3"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states and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features or induce nonlinear changes, so negligible isolated effects do not establish joint necessity. Finally, key removal changes attention normalization, and K/V replacement can interact with unpatched routes. These interventions identify active pathways, not a full circuit.</w:t>
      </w:r>
    </w:p>
    <w:bookmarkEnd w:id="43"/>
    <w:bookmarkStart w:id="44"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4"/>
    <w:bookmarkEnd w:id="45"/>
    <w:bookmarkStart w:id="46" w:name="conclusion"/>
    <w:p>
      <w:pPr>
        <w:pStyle w:val="Heading1"/>
      </w:pPr>
      <w:r>
        <w:t xml:space="preserve">Conclusion</w:t>
      </w:r>
    </w:p>
    <w:p>
      <w:pPr>
        <w:pStyle w:val="FirstParagraph"/>
      </w:pPr>
      <w:r>
        <w:t xml:space="preserve">In two WAM checkpoints, coherent generated futures steer actions and one-chunk simulator endpoints toward a specific donor continuation. Cosmos 3 shows this effect across 22 sampled states; future-token K/V replacement strongly attenuates it, while isolated robot or object pixels do not recreate it. Cosmos Policy shows a related, more state-dependent effect dominated by visual robot-motion information. The models use their futures to condition action, but whether they compare predicted outcomes to plan remains an open question.</w:t>
      </w:r>
    </w:p>
    <w:bookmarkEnd w:id="46"/>
    <w:bookmarkStart w:id="47"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47"/>
    <w:bookmarkStart w:id="48"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End w:id="48"/>
    <w:bookmarkStart w:id="101" w:name="neurips-paper-checklist"/>
    <w:p>
      <w:pPr>
        <w:pStyle w:val="Heading1"/>
      </w:pPr>
      <w:r>
        <w:t xml:space="preserve">NeurIPS Paper Checklist</w:t>
      </w:r>
    </w:p>
    <w:p>
      <w:pPr>
        <w:numPr>
          <w:ilvl w:val="0"/>
          <w:numId w:val="1001"/>
        </w:numPr>
      </w:pPr>
      <w:r>
        <w:rPr>
          <w:b/>
          <w:bCs/>
        </w:rPr>
        <w:t xml:space="preserve">Claims</w:t>
      </w:r>
    </w:p>
    <w:p>
      <w:pPr>
        <w:numPr>
          <w:ilvl w:val="0"/>
          <w:numId w:val="1001"/>
        </w:numPr>
      </w:pPr>
      <w:r>
        <w:t xml:space="preserve">Question: Do the main claims made in the abstract and introduction accurately reflect the paper’s contributions and scope?</w:t>
      </w:r>
    </w:p>
    <w:p>
      <w:pPr>
        <w:numPr>
          <w:ilvl w:val="0"/>
          <w:numId w:val="1001"/>
        </w:numPr>
      </w:pPr>
      <w:r>
        <w:t xml:space="preserve">Answer:</w:t>
      </w:r>
    </w:p>
    <w:p>
      <w:pPr>
        <w:numPr>
          <w:ilvl w:val="0"/>
          <w:numId w:val="1001"/>
        </w:numPr>
      </w:pPr>
      <w:r>
        <w:t xml:space="preserve">Justification: The abstract, Introduction, Results, and Discussion state the future-transplantation result, its variation across decision points, and the limits on claims about planning and task success.</w:t>
      </w:r>
    </w:p>
    <w:p>
      <w:pPr>
        <w:numPr>
          <w:ilvl w:val="0"/>
          <w:numId w:val="1001"/>
        </w:numPr>
      </w:pPr>
      <w:r>
        <w:t xml:space="preserve">Guidelines:</w:t>
      </w:r>
    </w:p>
    <w:p>
      <w:pPr>
        <w:numPr>
          <w:ilvl w:val="1"/>
          <w:numId w:val="1002"/>
        </w:numPr>
      </w:pPr>
      <w:r>
        <w:t xml:space="preserve">The answer means that the abstract and introduction do not include the claims made in the paper.</w:t>
      </w:r>
    </w:p>
    <w:p>
      <w:pPr>
        <w:numPr>
          <w:ilvl w:val="1"/>
          <w:numId w:val="1002"/>
        </w:numPr>
      </w:pPr>
      <w:r>
        <w:t xml:space="preserve">The abstract and/or introduction should clearly state the claims made, including the contributions made in the paper and important assumptions and limitations. A or answer to this question will not be perceived well by the reviewers.</w:t>
      </w:r>
    </w:p>
    <w:p>
      <w:pPr>
        <w:numPr>
          <w:ilvl w:val="1"/>
          <w:numId w:val="1002"/>
        </w:numPr>
      </w:pPr>
      <w:r>
        <w:t xml:space="preserve">The claims made should match theoretical and experimental results, and reflect how much the results can be expected to generalize to other settings.</w:t>
      </w:r>
    </w:p>
    <w:p>
      <w:pPr>
        <w:numPr>
          <w:ilvl w:val="1"/>
          <w:numId w:val="1002"/>
        </w:numPr>
      </w:pPr>
      <w:r>
        <w:t xml:space="preserve">It is fine to include aspirational goals as motivation as long as it is clear that these goals are not attained by the paper.</w:t>
      </w:r>
    </w:p>
    <w:p>
      <w:pPr>
        <w:numPr>
          <w:ilvl w:val="0"/>
          <w:numId w:val="1001"/>
        </w:numPr>
      </w:pPr>
      <w:r>
        <w:rPr>
          <w:b/>
          <w:bCs/>
        </w:rPr>
        <w:t xml:space="preserve">Limitations</w:t>
      </w:r>
    </w:p>
    <w:p>
      <w:pPr>
        <w:numPr>
          <w:ilvl w:val="0"/>
          <w:numId w:val="1001"/>
        </w:numPr>
      </w:pPr>
      <w:r>
        <w:t xml:space="preserve">Question: Does the paper discuss the limitations of the work performed by the authors?</w:t>
      </w:r>
    </w:p>
    <w:p>
      <w:pPr>
        <w:numPr>
          <w:ilvl w:val="0"/>
          <w:numId w:val="1001"/>
        </w:numPr>
      </w:pPr>
      <w:r>
        <w:t xml:space="preserve">Answer:</w:t>
      </w:r>
    </w:p>
    <w:p>
      <w:pPr>
        <w:numPr>
          <w:ilvl w:val="0"/>
          <w:numId w:val="1001"/>
        </w:numPr>
      </w:pPr>
      <w:r>
        <w:t xml:space="preserve">Justification: Result-specific qualifications appear beside the relevant findings, and the Discussion and Limitations section addresses model and state coverage, the later-state comparison, the factorized object intervention, the internal replacement experiment, and the absence of task-success results.</w:t>
      </w:r>
    </w:p>
    <w:p>
      <w:pPr>
        <w:numPr>
          <w:ilvl w:val="0"/>
          <w:numId w:val="1001"/>
        </w:numPr>
      </w:pPr>
      <w:r>
        <w:t xml:space="preserve">Guidelines:</w:t>
      </w:r>
    </w:p>
    <w:p>
      <w:pPr>
        <w:numPr>
          <w:ilvl w:val="1"/>
          <w:numId w:val="1003"/>
        </w:numPr>
      </w:pPr>
      <w:r>
        <w:t xml:space="preserve">The answer means that the paper has no limitation while the answer means that the paper has limitations, but those are not discussed in the paper.</w:t>
      </w:r>
    </w:p>
    <w:p>
      <w:pPr>
        <w:numPr>
          <w:ilvl w:val="1"/>
          <w:numId w:val="1003"/>
        </w:numPr>
      </w:pPr>
      <w:r>
        <w:t xml:space="preserve">The authors are encouraged to create a separate</w:t>
      </w:r>
      <w:r>
        <w:t xml:space="preserve"> </w:t>
      </w:r>
      <w:r>
        <w:t xml:space="preserve">“Limitations”</w:t>
      </w:r>
      <w:r>
        <w:t xml:space="preserve"> </w:t>
      </w:r>
      <w:r>
        <w:t xml:space="preserve">section in their paper.</w:t>
      </w:r>
    </w:p>
    <w:p>
      <w:pPr>
        <w:numPr>
          <w:ilvl w:val="1"/>
          <w:numId w:val="1003"/>
        </w:numPr>
      </w:pPr>
      <w:r>
        <w:t xml:space="preserve">The paper should point out any strong assumptions and how robust the results are to violations of these assumptions (e.g., independence assumptions, noiseless settings, model well-specification, asymptotic approximations only holding locally). The authors should reflect on how these assumptions might be violated in practice and what the implications would be.</w:t>
      </w:r>
    </w:p>
    <w:p>
      <w:pPr>
        <w:numPr>
          <w:ilvl w:val="1"/>
          <w:numId w:val="1003"/>
        </w:numPr>
      </w:pPr>
      <w:r>
        <w:t xml:space="preserve">The authors should reflect on the scope of the claims made, e.g., if the approach was only tested on a few datasets or with a few runs. In general, empirical results often depend on implicit assumptions, which should be articulated.</w:t>
      </w:r>
    </w:p>
    <w:p>
      <w:pPr>
        <w:numPr>
          <w:ilvl w:val="1"/>
          <w:numId w:val="1003"/>
        </w:numPr>
      </w:pPr>
      <w:r>
        <w:t xml:space="preserve">The authors should reflect on the factors that influence the performance of the approach. For example, a facial recognition algorithm may perform poorly when image resolution is low or images are taken in low lighting. Or a speech-to-text system might not be used reliably to provide closed captions for online lectures because it fails to handle technical jargon.</w:t>
      </w:r>
    </w:p>
    <w:p>
      <w:pPr>
        <w:numPr>
          <w:ilvl w:val="1"/>
          <w:numId w:val="1003"/>
        </w:numPr>
      </w:pPr>
      <w:r>
        <w:t xml:space="preserve">The authors should discuss the computational efficiency of the proposed algorithms and how they scale with dataset size.</w:t>
      </w:r>
    </w:p>
    <w:p>
      <w:pPr>
        <w:numPr>
          <w:ilvl w:val="1"/>
          <w:numId w:val="1003"/>
        </w:numPr>
      </w:pPr>
      <w:r>
        <w:t xml:space="preserve">If applicable, the authors should discuss possible limitations of their approach to address problems of privacy and fairness.</w:t>
      </w:r>
    </w:p>
    <w:p>
      <w:pPr>
        <w:numPr>
          <w:ilvl w:val="1"/>
          <w:numId w:val="1003"/>
        </w:numPr>
      </w:pPr>
      <w:r>
        <w:t xml:space="preserve">While the authors might fear that complete honesty about limitations might be used by reviewers as grounds for rejection, a worse outcome might be that reviewers discover limitations that aren’t acknowledged in the paper. The authors should use their best judgment and recognize that individual actions in favor of transparency play an important role in developing norms that preserve the integrity of the community. Reviewers will be specifically instructed to not penalize honesty concerning limitations.</w:t>
      </w:r>
    </w:p>
    <w:p>
      <w:pPr>
        <w:numPr>
          <w:ilvl w:val="0"/>
          <w:numId w:val="1001"/>
        </w:numPr>
      </w:pPr>
      <w:r>
        <w:rPr>
          <w:b/>
          <w:bCs/>
        </w:rPr>
        <w:t xml:space="preserve">Theory assumptions and proofs</w:t>
      </w:r>
    </w:p>
    <w:p>
      <w:pPr>
        <w:numPr>
          <w:ilvl w:val="0"/>
          <w:numId w:val="1001"/>
        </w:numPr>
      </w:pPr>
      <w:r>
        <w:t xml:space="preserve">Question: For each theoretical result, does the paper provide the full set of assumptions and a complete (and correct) proof?</w:t>
      </w:r>
    </w:p>
    <w:p>
      <w:pPr>
        <w:numPr>
          <w:ilvl w:val="0"/>
          <w:numId w:val="1001"/>
        </w:numPr>
      </w:pPr>
      <w:r>
        <w:t xml:space="preserve">Answer:</w:t>
      </w:r>
    </w:p>
    <w:p>
      <w:pPr>
        <w:numPr>
          <w:ilvl w:val="0"/>
          <w:numId w:val="1001"/>
        </w:numPr>
      </w:pPr>
      <w:r>
        <w:t xml:space="preserve">Justification: The paper reports empirical intervention results and does not claim a theorem or formal proof.</w:t>
      </w:r>
    </w:p>
    <w:p>
      <w:pPr>
        <w:numPr>
          <w:ilvl w:val="0"/>
          <w:numId w:val="1001"/>
        </w:numPr>
      </w:pPr>
      <w:r>
        <w:t xml:space="preserve">Guidelines:</w:t>
      </w:r>
    </w:p>
    <w:p>
      <w:pPr>
        <w:numPr>
          <w:ilvl w:val="1"/>
          <w:numId w:val="1004"/>
        </w:numPr>
      </w:pPr>
      <w:r>
        <w:t xml:space="preserve">The answer means that the paper does not include theoretical results.</w:t>
      </w:r>
    </w:p>
    <w:p>
      <w:pPr>
        <w:numPr>
          <w:ilvl w:val="1"/>
          <w:numId w:val="1004"/>
        </w:numPr>
      </w:pPr>
      <w:r>
        <w:t xml:space="preserve">All the theorems, formulas, and proofs in the paper should be numbered and cross-referenced.</w:t>
      </w:r>
    </w:p>
    <w:p>
      <w:pPr>
        <w:numPr>
          <w:ilvl w:val="1"/>
          <w:numId w:val="1004"/>
        </w:numPr>
      </w:pPr>
      <w:r>
        <w:t xml:space="preserve">All assumptions should be clearly stated or referenced in the statement of any theorems.</w:t>
      </w:r>
    </w:p>
    <w:p>
      <w:pPr>
        <w:numPr>
          <w:ilvl w:val="1"/>
          <w:numId w:val="1004"/>
        </w:numPr>
      </w:pPr>
      <w:r>
        <w:t xml:space="preserve">The proofs can either appear in the main paper or the supplemental material, but if they appear in the supplemental material, the authors are encouraged to provide a short proof sketch to provide intuition.</w:t>
      </w:r>
    </w:p>
    <w:p>
      <w:pPr>
        <w:numPr>
          <w:ilvl w:val="1"/>
          <w:numId w:val="1004"/>
        </w:numPr>
      </w:pPr>
      <w:r>
        <w:t xml:space="preserve">Inversely, any informal proof provided in the core of the paper should be complemented by formal proofs provided in appendix or supplemental material.</w:t>
      </w:r>
    </w:p>
    <w:p>
      <w:pPr>
        <w:numPr>
          <w:ilvl w:val="1"/>
          <w:numId w:val="1004"/>
        </w:numPr>
      </w:pPr>
      <w:r>
        <w:t xml:space="preserve">Theorems and Lemmas that the proof relies upon should be properly referenced.</w:t>
      </w:r>
    </w:p>
    <w:p>
      <w:pPr>
        <w:numPr>
          <w:ilvl w:val="0"/>
          <w:numId w:val="1001"/>
        </w:numPr>
      </w:pPr>
      <w:r>
        <w:rPr>
          <w:b/>
          <w:bCs/>
        </w:rPr>
        <w:t xml:space="preserve">Experimental result reproducibility</w:t>
      </w:r>
    </w:p>
    <w:p>
      <w:pPr>
        <w:numPr>
          <w:ilvl w:val="0"/>
          <w:numId w:val="1001"/>
        </w:numPr>
      </w:pPr>
      <w:r>
        <w:t xml:space="preserve">Question: Does the paper fully disclose all the information needed to reproduce the main experimental results of the paper to the extent that it affects the main claims and/or conclusions of the paper (regardless of whether the code and data are provided or not)?</w:t>
      </w:r>
    </w:p>
    <w:p>
      <w:pPr>
        <w:numPr>
          <w:ilvl w:val="0"/>
          <w:numId w:val="1001"/>
        </w:numPr>
      </w:pPr>
      <w:r>
        <w:t xml:space="preserve">Answer:</w:t>
      </w:r>
    </w:p>
    <w:p>
      <w:pPr>
        <w:numPr>
          <w:ilvl w:val="0"/>
          <w:numId w:val="1001"/>
        </w:numPr>
      </w:pPr>
      <w:r>
        <w:t xml:space="preserve">Justification: The Methods, Results, and Appendix A specify the estimands, experimental units, controls, clustering, public checkpoints, and exactness gates. The complete seed list, all repository hashes and container digests, intervention code, and run logs are not yet included.</w:t>
      </w:r>
    </w:p>
    <w:p>
      <w:pPr>
        <w:numPr>
          <w:ilvl w:val="0"/>
          <w:numId w:val="1001"/>
        </w:numPr>
      </w:pPr>
      <w:r>
        <w:t xml:space="preserve">Guidelines:</w:t>
      </w:r>
    </w:p>
    <w:p>
      <w:pPr>
        <w:numPr>
          <w:ilvl w:val="1"/>
          <w:numId w:val="1005"/>
        </w:numPr>
      </w:pPr>
      <w:r>
        <w:t xml:space="preserve">The answer means that the paper does not include experiments.</w:t>
      </w:r>
    </w:p>
    <w:p>
      <w:pPr>
        <w:numPr>
          <w:ilvl w:val="1"/>
          <w:numId w:val="1005"/>
        </w:numPr>
      </w:pPr>
      <w:r>
        <w:t xml:space="preserve">If the paper includes experiments, a answer to this question will not be perceived well by the reviewers: Making the paper reproducible is important, regardless of whether the code and data are provided or not.</w:t>
      </w:r>
    </w:p>
    <w:p>
      <w:pPr>
        <w:numPr>
          <w:ilvl w:val="1"/>
          <w:numId w:val="1005"/>
        </w:numPr>
      </w:pPr>
      <w:r>
        <w:t xml:space="preserve">If the contribution is a dataset and/or model, the authors should describe the steps taken to make their results reproducible or verifiable.</w:t>
      </w:r>
    </w:p>
    <w:p>
      <w:pPr>
        <w:numPr>
          <w:ilvl w:val="1"/>
          <w:numId w:val="1005"/>
        </w:numPr>
      </w:pPr>
      <w:r>
        <w:t xml:space="preserve">Depending on the contribution, reproducibility can be accomplished in various ways. For example, if the contribution is a novel architecture, describing the architecture fully might suffice, or if the contribution is a specific model and empirical evaluation, it may be necessary to either make it possible for others to replicate the model with the same dataset, or provide access to the model. In general. releasing code and data is often one good way to accomplish this, but reproducibility can also be provided via detailed instructions for how to replicate the results, access to a hosted model (e.g., in the case of a large language model), releasing of a model checkpoint, or other means that are appropriate to the research performed.</w:t>
      </w:r>
    </w:p>
    <w:p>
      <w:pPr>
        <w:numPr>
          <w:ilvl w:val="1"/>
          <w:numId w:val="1005"/>
        </w:numPr>
      </w:pPr>
      <w:r>
        <w:t xml:space="preserve">While NeurIPS does not require releasing code, the conference does require all submissions to provide some reasonable avenue for reproducibility, which may depend on the nature of the contribution. For example</w:t>
      </w:r>
    </w:p>
    <w:p>
      <w:pPr>
        <w:numPr>
          <w:ilvl w:val="2"/>
          <w:numId w:val="1006"/>
        </w:numPr>
      </w:pPr>
      <w:r>
        <w:t xml:space="preserve">If the contribution is primarily a new algorithm, the paper should make it clear how to reproduce that algorithm.</w:t>
      </w:r>
    </w:p>
    <w:p>
      <w:pPr>
        <w:numPr>
          <w:ilvl w:val="2"/>
          <w:numId w:val="1006"/>
        </w:numPr>
      </w:pPr>
      <w:r>
        <w:t xml:space="preserve">If the contribution is primarily a new model architecture, the paper should describe the architecture clearly and fully.</w:t>
      </w:r>
    </w:p>
    <w:p>
      <w:pPr>
        <w:numPr>
          <w:ilvl w:val="2"/>
          <w:numId w:val="1006"/>
        </w:numPr>
      </w:pPr>
      <w:r>
        <w:t xml:space="preserve">If the contribution is a new model (e.g., a large language model), then there should either be a way to access this model for reproducing the results or a way to reproduce the model (e.g., with an open-source dataset or instructions for how to construct the dataset).</w:t>
      </w:r>
    </w:p>
    <w:p>
      <w:pPr>
        <w:numPr>
          <w:ilvl w:val="2"/>
          <w:numId w:val="1006"/>
        </w:numPr>
      </w:pPr>
      <w:r>
        <w:t xml:space="preserve">We recognize that reproducibility may be tricky in some cases, in which case authors are welcome to describe the particular way they provide for reproducibility. In the case of closed-source models, it may be that access to the model is limited in some way (e.g., to registered users), but it should be possible for other researchers to have some path to reproducing or verifying the results.</w:t>
      </w:r>
    </w:p>
    <w:p>
      <w:pPr>
        <w:numPr>
          <w:ilvl w:val="0"/>
          <w:numId w:val="1001"/>
        </w:numPr>
      </w:pPr>
      <w:r>
        <w:rPr>
          <w:b/>
          <w:bCs/>
        </w:rPr>
        <w:t xml:space="preserve">Open access to data and code</w:t>
      </w:r>
    </w:p>
    <w:p>
      <w:pPr>
        <w:numPr>
          <w:ilvl w:val="0"/>
          <w:numId w:val="1001"/>
        </w:numPr>
      </w:pPr>
      <w:r>
        <w:t xml:space="preserve">Question: Does the paper provide open access to the data and code, with sufficient instructions to faithfully reproduce the main experimental results, as described in supplemental material?</w:t>
      </w:r>
    </w:p>
    <w:p>
      <w:pPr>
        <w:numPr>
          <w:ilvl w:val="0"/>
          <w:numId w:val="1001"/>
        </w:numPr>
      </w:pPr>
      <w:r>
        <w:t xml:space="preserve">Answer:</w:t>
      </w:r>
    </w:p>
    <w:p>
      <w:pPr>
        <w:numPr>
          <w:ilvl w:val="0"/>
          <w:numId w:val="1001"/>
        </w:numPr>
      </w:pPr>
      <w:r>
        <w:t xml:space="preserve">Justification: The source package includes machine-readable values for the paper figures, but not the intervention code, raw logs, or an anonymous public reproduction artifact.</w:t>
      </w:r>
    </w:p>
    <w:p>
      <w:pPr>
        <w:numPr>
          <w:ilvl w:val="0"/>
          <w:numId w:val="1001"/>
        </w:numPr>
      </w:pPr>
      <w:r>
        <w:t xml:space="preserve">Guidelines:</w:t>
      </w:r>
    </w:p>
    <w:p>
      <w:pPr>
        <w:numPr>
          <w:ilvl w:val="1"/>
          <w:numId w:val="1007"/>
        </w:numPr>
      </w:pPr>
      <w:r>
        <w:t xml:space="preserve">The answer means that paper does not include experiments requiring code.</w:t>
      </w:r>
    </w:p>
    <w:p>
      <w:pPr>
        <w:numPr>
          <w:ilvl w:val="1"/>
          <w:numId w:val="1007"/>
        </w:numPr>
      </w:pPr>
      <w:r>
        <w:t xml:space="preserve">Please see the NeurIPS code and data submission guidelines (</w:t>
      </w:r>
      <w:hyperlink r:id="rId49">
        <w:r>
          <w:rPr>
            <w:rStyle w:val="Hyperlink"/>
          </w:rPr>
          <w:t xml:space="preserve">https://neurips.cc/public/guides/CodeSubmissionPolicy</w:t>
        </w:r>
      </w:hyperlink>
      <w:r>
        <w:t xml:space="preserve">) for more details.</w:t>
      </w:r>
    </w:p>
    <w:p>
      <w:pPr>
        <w:numPr>
          <w:ilvl w:val="1"/>
          <w:numId w:val="1007"/>
        </w:numPr>
      </w:pPr>
      <w:r>
        <w:t xml:space="preserve">While we encourage the release of code and data, we understand that this might not be possible, so is an acceptable answer. Papers cannot be rejected simply for not including code, unless this is central to the contribution (e.g., for a new open-source benchmark).</w:t>
      </w:r>
    </w:p>
    <w:p>
      <w:pPr>
        <w:numPr>
          <w:ilvl w:val="1"/>
          <w:numId w:val="1007"/>
        </w:numPr>
      </w:pPr>
      <w:r>
        <w:t xml:space="preserve">The instructions should contain the exact command and environment needed to run to reproduce the results. See the NeurIPS code and data submission guidelines (</w:t>
      </w:r>
      <w:hyperlink r:id="rId49">
        <w:r>
          <w:rPr>
            <w:rStyle w:val="Hyperlink"/>
          </w:rPr>
          <w:t xml:space="preserve">https://neurips.cc/public/guides/CodeSubmissionPolicy</w:t>
        </w:r>
      </w:hyperlink>
      <w:r>
        <w:t xml:space="preserve">) for more details.</w:t>
      </w:r>
    </w:p>
    <w:p>
      <w:pPr>
        <w:numPr>
          <w:ilvl w:val="1"/>
          <w:numId w:val="1007"/>
        </w:numPr>
      </w:pPr>
      <w:r>
        <w:t xml:space="preserve">The authors should provide instructions on data access and preparation, including how to access the raw data, preprocessed data, intermediate data, and generated data, etc.</w:t>
      </w:r>
    </w:p>
    <w:p>
      <w:pPr>
        <w:numPr>
          <w:ilvl w:val="1"/>
          <w:numId w:val="1007"/>
        </w:numPr>
      </w:pPr>
      <w:r>
        <w:t xml:space="preserve">The authors should provide scripts to reproduce all experimental results for the new proposed method and baselines. If only a subset of experiments are reproducible, they should state which ones are omitted from the script and why.</w:t>
      </w:r>
    </w:p>
    <w:p>
      <w:pPr>
        <w:numPr>
          <w:ilvl w:val="1"/>
          <w:numId w:val="1007"/>
        </w:numPr>
      </w:pPr>
      <w:r>
        <w:t xml:space="preserve">At submission time, to preserve anonymity, the authors should release anonymized versions (if applicable).</w:t>
      </w:r>
    </w:p>
    <w:p>
      <w:pPr>
        <w:numPr>
          <w:ilvl w:val="1"/>
          <w:numId w:val="1007"/>
        </w:numPr>
      </w:pPr>
      <w:r>
        <w:t xml:space="preserve">Providing as much information as possible in supplemental material (appended to the paper) is recommended, but including URLs to data and code is permitted.</w:t>
      </w:r>
    </w:p>
    <w:p>
      <w:pPr>
        <w:numPr>
          <w:ilvl w:val="0"/>
          <w:numId w:val="1001"/>
        </w:numPr>
      </w:pPr>
      <w:r>
        <w:rPr>
          <w:b/>
          <w:bCs/>
        </w:rPr>
        <w:t xml:space="preserve">Experimental setting/details</w:t>
      </w:r>
    </w:p>
    <w:p>
      <w:pPr>
        <w:numPr>
          <w:ilvl w:val="0"/>
          <w:numId w:val="1001"/>
        </w:numPr>
      </w:pPr>
      <w:r>
        <w:t xml:space="preserve">Question: Does the paper specify all the training and test details (e.g., data splits, hyperparameters, how they were chosen, type of optimizer) necessary to understand the results?</w:t>
      </w:r>
    </w:p>
    <w:p>
      <w:pPr>
        <w:numPr>
          <w:ilvl w:val="0"/>
          <w:numId w:val="1001"/>
        </w:numPr>
      </w:pPr>
      <w:r>
        <w:t xml:space="preserve">Answer:</w:t>
      </w:r>
    </w:p>
    <w:p>
      <w:pPr>
        <w:numPr>
          <w:ilvl w:val="0"/>
          <w:numId w:val="1001"/>
        </w:numPr>
      </w:pPr>
      <w:r>
        <w:t xml:space="preserve">Justification: The Methods and Results provide the state grid, branch construction, intervention targets, controls, action horizons, model interfaces, and statistical analysis needed to interpret the results. Appendix A states which exact environment details are available and which remain unreported.</w:t>
      </w:r>
    </w:p>
    <w:p>
      <w:pPr>
        <w:numPr>
          <w:ilvl w:val="0"/>
          <w:numId w:val="1001"/>
        </w:numPr>
      </w:pPr>
      <w:r>
        <w:t xml:space="preserve">Guidelines:</w:t>
      </w:r>
    </w:p>
    <w:p>
      <w:pPr>
        <w:numPr>
          <w:ilvl w:val="1"/>
          <w:numId w:val="1008"/>
        </w:numPr>
      </w:pPr>
      <w:r>
        <w:t xml:space="preserve">The answer means that the paper does not include experiments.</w:t>
      </w:r>
    </w:p>
    <w:p>
      <w:pPr>
        <w:numPr>
          <w:ilvl w:val="1"/>
          <w:numId w:val="1008"/>
        </w:numPr>
      </w:pPr>
      <w:r>
        <w:t xml:space="preserve">The experimental setting should be presented in the core of the paper to a level of detail that is necessary to appreciate the results and make sense of them.</w:t>
      </w:r>
    </w:p>
    <w:p>
      <w:pPr>
        <w:numPr>
          <w:ilvl w:val="1"/>
          <w:numId w:val="1008"/>
        </w:numPr>
      </w:pPr>
      <w:r>
        <w:t xml:space="preserve">The full details can be provided either with the code, in appendix, or as supplemental material.</w:t>
      </w:r>
    </w:p>
    <w:p>
      <w:pPr>
        <w:numPr>
          <w:ilvl w:val="0"/>
          <w:numId w:val="1001"/>
        </w:numPr>
      </w:pPr>
      <w:r>
        <w:rPr>
          <w:b/>
          <w:bCs/>
        </w:rPr>
        <w:t xml:space="preserve">Experiment statistical significance</w:t>
      </w:r>
    </w:p>
    <w:p>
      <w:pPr>
        <w:numPr>
          <w:ilvl w:val="0"/>
          <w:numId w:val="1001"/>
        </w:numPr>
      </w:pPr>
      <w:r>
        <w:t xml:space="preserve">Question: Does the paper report error bars suitably and correctly defined or other appropriate information about the statistical significance of the experiments?</w:t>
      </w:r>
    </w:p>
    <w:p>
      <w:pPr>
        <w:numPr>
          <w:ilvl w:val="0"/>
          <w:numId w:val="1001"/>
        </w:numPr>
      </w:pPr>
      <w:r>
        <w:t xml:space="preserve">Answer:</w:t>
      </w:r>
    </w:p>
    <w:p>
      <w:pPr>
        <w:numPr>
          <w:ilvl w:val="0"/>
          <w:numId w:val="1001"/>
        </w:numPr>
      </w:pPr>
      <w:r>
        <w:t xml:space="preserve">Justification: Principal estimates have explicitly defined 95% cluster-bootstrap intervals, the independent unit and 10,000-resample procedure are stated in the Methods, and exact sign counts are reported where relevant. The text identifies controls and secondary means for which exact intervals were not available.</w:t>
      </w:r>
    </w:p>
    <w:p>
      <w:pPr>
        <w:numPr>
          <w:ilvl w:val="0"/>
          <w:numId w:val="1001"/>
        </w:numPr>
      </w:pPr>
      <w:r>
        <w:t xml:space="preserve">Guidelines:</w:t>
      </w:r>
    </w:p>
    <w:p>
      <w:pPr>
        <w:numPr>
          <w:ilvl w:val="1"/>
          <w:numId w:val="1009"/>
        </w:numPr>
      </w:pPr>
      <w:r>
        <w:t xml:space="preserve">The answer means that the paper does not include experiments.</w:t>
      </w:r>
    </w:p>
    <w:p>
      <w:pPr>
        <w:numPr>
          <w:ilvl w:val="1"/>
          <w:numId w:val="1009"/>
        </w:numPr>
      </w:pPr>
      <w:r>
        <w:t xml:space="preserve">The authors should answer if the results are accompanied by error bars, confidence intervals, or statistical significance tests, at least for the experiments that support the main claims of the paper.</w:t>
      </w:r>
    </w:p>
    <w:p>
      <w:pPr>
        <w:numPr>
          <w:ilvl w:val="1"/>
          <w:numId w:val="1009"/>
        </w:numPr>
      </w:pPr>
      <w:r>
        <w:t xml:space="preserve">The factors of variability that the error bars are capturing should be clearly stated (for example, train/test split, initialization, random drawing of some parameter, or overall run with given experimental conditions).</w:t>
      </w:r>
    </w:p>
    <w:p>
      <w:pPr>
        <w:numPr>
          <w:ilvl w:val="1"/>
          <w:numId w:val="1009"/>
        </w:numPr>
      </w:pPr>
      <w:r>
        <w:t xml:space="preserve">The method for calculating the error bars should be explained (closed form formula, call to a library function, bootstrap, etc.)</w:t>
      </w:r>
    </w:p>
    <w:p>
      <w:pPr>
        <w:numPr>
          <w:ilvl w:val="1"/>
          <w:numId w:val="1009"/>
        </w:numPr>
      </w:pPr>
      <w:r>
        <w:t xml:space="preserve">The assumptions made should be given (e.g., Normally distributed errors).</w:t>
      </w:r>
    </w:p>
    <w:p>
      <w:pPr>
        <w:numPr>
          <w:ilvl w:val="1"/>
          <w:numId w:val="1009"/>
        </w:numPr>
      </w:pPr>
      <w:r>
        <w:t xml:space="preserve">It should be clear whether the error bar is the standard deviation or the standard error of the mean.</w:t>
      </w:r>
    </w:p>
    <w:p>
      <w:pPr>
        <w:numPr>
          <w:ilvl w:val="1"/>
          <w:numId w:val="1009"/>
        </w:numPr>
      </w:pPr>
      <w:r>
        <w:t xml:space="preserve">It is OK to report 1-sigma error bars, but one should state it. The authors should preferably report a 2-sigma error bar than state that they have a 96% CI, if the hypothesis of Normality of errors is not verified.</w:t>
      </w:r>
    </w:p>
    <w:p>
      <w:pPr>
        <w:numPr>
          <w:ilvl w:val="1"/>
          <w:numId w:val="1009"/>
        </w:numPr>
      </w:pPr>
      <w:r>
        <w:t xml:space="preserve">For asymmetric distributions, the authors should be careful not to show in tables or figures symmetric error bars that would yield results that are out of range (e.g., negative error rates).</w:t>
      </w:r>
    </w:p>
    <w:p>
      <w:pPr>
        <w:numPr>
          <w:ilvl w:val="1"/>
          <w:numId w:val="1009"/>
        </w:numPr>
      </w:pPr>
      <w:r>
        <w:t xml:space="preserve">If error bars are reported in tables or plots, the authors should explain in the text how they were calculated and reference the corresponding figures or tables in the text.</w:t>
      </w:r>
    </w:p>
    <w:p>
      <w:pPr>
        <w:numPr>
          <w:ilvl w:val="0"/>
          <w:numId w:val="1001"/>
        </w:numPr>
      </w:pPr>
      <w:r>
        <w:rPr>
          <w:b/>
          <w:bCs/>
        </w:rPr>
        <w:t xml:space="preserve">Experiments compute resources</w:t>
      </w:r>
    </w:p>
    <w:p>
      <w:pPr>
        <w:numPr>
          <w:ilvl w:val="0"/>
          <w:numId w:val="1001"/>
        </w:numPr>
      </w:pPr>
      <w:r>
        <w:t xml:space="preserve">Question: For each experiment, does the paper provide sufficient information on the computer resources (type of compute workers, memory, time of execution) needed to reproduce the experiments?</w:t>
      </w:r>
    </w:p>
    <w:p>
      <w:pPr>
        <w:numPr>
          <w:ilvl w:val="0"/>
          <w:numId w:val="1001"/>
        </w:numPr>
      </w:pPr>
      <w:r>
        <w:t xml:space="preserve">Answer:</w:t>
      </w:r>
    </w:p>
    <w:p>
      <w:pPr>
        <w:numPr>
          <w:ilvl w:val="0"/>
          <w:numId w:val="1001"/>
        </w:numPr>
      </w:pPr>
      <w:r>
        <w:t xml:space="preserve">Justification: Appendix A reports GPU type and software environment, but complete per-run wall-clock and aggregate compute-hour accounting is still being assembled for the submission artifact.</w:t>
      </w:r>
    </w:p>
    <w:p>
      <w:pPr>
        <w:numPr>
          <w:ilvl w:val="0"/>
          <w:numId w:val="1001"/>
        </w:numPr>
      </w:pPr>
      <w:r>
        <w:t xml:space="preserve">Guidelines:</w:t>
      </w:r>
    </w:p>
    <w:p>
      <w:pPr>
        <w:numPr>
          <w:ilvl w:val="1"/>
          <w:numId w:val="1010"/>
        </w:numPr>
      </w:pPr>
      <w:r>
        <w:t xml:space="preserve">The answer means that the paper does not include experiments.</w:t>
      </w:r>
    </w:p>
    <w:p>
      <w:pPr>
        <w:numPr>
          <w:ilvl w:val="1"/>
          <w:numId w:val="1010"/>
        </w:numPr>
      </w:pPr>
      <w:r>
        <w:t xml:space="preserve">The paper should indicate the type of compute workers CPU or GPU, internal cluster, or cloud provider, including relevant memory and storage.</w:t>
      </w:r>
    </w:p>
    <w:p>
      <w:pPr>
        <w:numPr>
          <w:ilvl w:val="1"/>
          <w:numId w:val="1010"/>
        </w:numPr>
      </w:pPr>
      <w:r>
        <w:t xml:space="preserve">The paper should provide the amount of compute required for each of the individual experimental runs as well as estimate the total compute.</w:t>
      </w:r>
    </w:p>
    <w:p>
      <w:pPr>
        <w:numPr>
          <w:ilvl w:val="1"/>
          <w:numId w:val="1010"/>
        </w:numPr>
      </w:pPr>
      <w:r>
        <w:t xml:space="preserve">The paper should disclose whether the full research project required more compute than the experiments reported in the paper (e.g., preliminary or failed experiments that didn’t make it into the paper).</w:t>
      </w:r>
    </w:p>
    <w:p>
      <w:pPr>
        <w:numPr>
          <w:ilvl w:val="0"/>
          <w:numId w:val="1001"/>
        </w:numPr>
      </w:pPr>
      <w:r>
        <w:rPr>
          <w:b/>
          <w:bCs/>
        </w:rPr>
        <w:t xml:space="preserve">Code of ethics</w:t>
      </w:r>
    </w:p>
    <w:p>
      <w:pPr>
        <w:numPr>
          <w:ilvl w:val="0"/>
          <w:numId w:val="1001"/>
        </w:numPr>
      </w:pPr>
      <w:r>
        <w:t xml:space="preserve">Question: Does the research conducted in the paper conform, in every respect, with the NeurIPS Code of Ethics</w:t>
      </w:r>
      <w:r>
        <w:t xml:space="preserve"> </w:t>
      </w:r>
      <w:hyperlink r:id="rId50">
        <w:r>
          <w:rPr>
            <w:rStyle w:val="Hyperlink"/>
          </w:rPr>
          <w:t xml:space="preserve">https://neurips.cc/public/EthicsGuidelines</w:t>
        </w:r>
      </w:hyperlink>
      <w:r>
        <w:t xml:space="preserve">?</w:t>
      </w:r>
    </w:p>
    <w:p>
      <w:pPr>
        <w:numPr>
          <w:ilvl w:val="0"/>
          <w:numId w:val="1001"/>
        </w:numPr>
      </w:pPr>
      <w:r>
        <w:t xml:space="preserve">Answer:</w:t>
      </w:r>
    </w:p>
    <w:p>
      <w:pPr>
        <w:numPr>
          <w:ilvl w:val="0"/>
          <w:numId w:val="1001"/>
        </w:numPr>
      </w:pPr>
      <w:r>
        <w:t xml:space="preserve">Justification: The experiments use public robot-policy checkpoints and simulation benchmarks, involve no people or personal data, and report negative and failed intervention results rather than selectively discarding them.</w:t>
      </w:r>
    </w:p>
    <w:p>
      <w:pPr>
        <w:numPr>
          <w:ilvl w:val="0"/>
          <w:numId w:val="1001"/>
        </w:numPr>
      </w:pPr>
      <w:r>
        <w:t xml:space="preserve">Guidelines:</w:t>
      </w:r>
    </w:p>
    <w:p>
      <w:pPr>
        <w:numPr>
          <w:ilvl w:val="1"/>
          <w:numId w:val="1011"/>
        </w:numPr>
      </w:pPr>
      <w:r>
        <w:t xml:space="preserve">The answer means that the authors have not reviewed the NeurIPS Code of Ethics.</w:t>
      </w:r>
    </w:p>
    <w:p>
      <w:pPr>
        <w:numPr>
          <w:ilvl w:val="1"/>
          <w:numId w:val="1011"/>
        </w:numPr>
      </w:pPr>
      <w:r>
        <w:t xml:space="preserve">If the authors answer , they should explain the special circumstances that require a deviation from the Code of Ethics.</w:t>
      </w:r>
    </w:p>
    <w:p>
      <w:pPr>
        <w:numPr>
          <w:ilvl w:val="1"/>
          <w:numId w:val="1011"/>
        </w:numPr>
      </w:pPr>
      <w:r>
        <w:t xml:space="preserve">The authors should make sure to preserve anonymity (e.g., if there is a special consideration due to laws or regulations in their jurisdiction).</w:t>
      </w:r>
    </w:p>
    <w:p>
      <w:pPr>
        <w:numPr>
          <w:ilvl w:val="0"/>
          <w:numId w:val="1001"/>
        </w:numPr>
      </w:pPr>
      <w:r>
        <w:rPr>
          <w:b/>
          <w:bCs/>
        </w:rPr>
        <w:t xml:space="preserve">Broader impacts</w:t>
      </w:r>
    </w:p>
    <w:p>
      <w:pPr>
        <w:numPr>
          <w:ilvl w:val="0"/>
          <w:numId w:val="1001"/>
        </w:numPr>
      </w:pPr>
      <w:r>
        <w:t xml:space="preserve">Question: Does the paper discuss both potential positive societal impacts and negative societal impacts of the work performed?</w:t>
      </w:r>
    </w:p>
    <w:p>
      <w:pPr>
        <w:numPr>
          <w:ilvl w:val="0"/>
          <w:numId w:val="1001"/>
        </w:numPr>
      </w:pPr>
      <w:r>
        <w:t xml:space="preserve">Answer:</w:t>
      </w:r>
    </w:p>
    <w:p>
      <w:pPr>
        <w:numPr>
          <w:ilvl w:val="0"/>
          <w:numId w:val="1001"/>
        </w:numPr>
      </w:pPr>
      <w:r>
        <w:t xml:space="preserve">Justification: The Discussion and Limitations section discusses auditability benefits, action-redirection misuse, false confidence from narrow simulation, and corresponding validation and safety-monitoring needs.</w:t>
      </w:r>
    </w:p>
    <w:p>
      <w:pPr>
        <w:numPr>
          <w:ilvl w:val="0"/>
          <w:numId w:val="1001"/>
        </w:numPr>
      </w:pPr>
      <w:r>
        <w:t xml:space="preserve">Guidelines:</w:t>
      </w:r>
    </w:p>
    <w:p>
      <w:pPr>
        <w:numPr>
          <w:ilvl w:val="1"/>
          <w:numId w:val="1012"/>
        </w:numPr>
      </w:pPr>
      <w:r>
        <w:t xml:space="preserve">The answer means that there is no societal impact of the work performed.</w:t>
      </w:r>
    </w:p>
    <w:p>
      <w:pPr>
        <w:numPr>
          <w:ilvl w:val="1"/>
          <w:numId w:val="1012"/>
        </w:numPr>
      </w:pPr>
      <w:r>
        <w:t xml:space="preserve">If the authors answer or , they should explain why their work has no societal impact or why the paper does not address societal impact.</w:t>
      </w:r>
    </w:p>
    <w:p>
      <w:pPr>
        <w:numPr>
          <w:ilvl w:val="1"/>
          <w:numId w:val="1012"/>
        </w:numPr>
      </w:pPr>
      <w:r>
        <w:t xml:space="preserve">Examples of negative societal impacts include potential malicious or unintended uses (e.g., disinformation, generating fake profiles, surveillance), fairness considerations (e.g., deployment of technologies that could make decisions that unfairly impact specific groups), privacy considerations, and security considerations.</w:t>
      </w:r>
    </w:p>
    <w:p>
      <w:pPr>
        <w:numPr>
          <w:ilvl w:val="1"/>
          <w:numId w:val="1012"/>
        </w:numPr>
      </w:pPr>
      <w:r>
        <w:t xml:space="preserve">The conference expects that many papers will be foundational research and not tied to particular applications, let alone deployments. However, if there is a direct path to any negative applications, the authors should point it out. For example, it is legitimate to point out that an improvement in the quality of generative models could be used to generate Deepfakes for disinformation. On the other hand, it is not needed to point out that a generic algorithm for optimizing neural networks could enable people to train models that generate Deepfakes faster.</w:t>
      </w:r>
    </w:p>
    <w:p>
      <w:pPr>
        <w:numPr>
          <w:ilvl w:val="1"/>
          <w:numId w:val="1012"/>
        </w:numPr>
      </w:pPr>
      <w:r>
        <w:t xml:space="preserve">The authors should consider possible harms that could arise when the technology is being used as intended and functioning correctly, harms that could arise when the technology is being used as intended but gives incorrect results, and harms following from (intentional or unintentional) misuse of the technology.</w:t>
      </w:r>
    </w:p>
    <w:p>
      <w:pPr>
        <w:numPr>
          <w:ilvl w:val="1"/>
          <w:numId w:val="1012"/>
        </w:numPr>
      </w:pPr>
      <w:r>
        <w:t xml:space="preserve">If there are negative societal impacts, the authors could also discuss possible mitigation strategies (e.g., gated release of models, providing defenses in addition to attacks, mechanisms for monitoring misuse, mechanisms to monitor how a system learns from feedback over time, improving the efficiency and accessibility of ML).</w:t>
      </w:r>
    </w:p>
    <w:p>
      <w:pPr>
        <w:numPr>
          <w:ilvl w:val="0"/>
          <w:numId w:val="1001"/>
        </w:numPr>
      </w:pPr>
      <w:r>
        <w:rPr>
          <w:b/>
          <w:bCs/>
        </w:rPr>
        <w:t xml:space="preserve">Safeguards</w:t>
      </w:r>
    </w:p>
    <w:p>
      <w:pPr>
        <w:numPr>
          <w:ilvl w:val="0"/>
          <w:numId w:val="1001"/>
        </w:numPr>
      </w:pPr>
      <w:r>
        <w:t xml:space="preserve">Question: Does the paper describe safeguards that have been put in place for responsible release of data or models that have a high risk for misuse (e.g., pre-trained language models, image generators, or scraped datasets)?</w:t>
      </w:r>
    </w:p>
    <w:p>
      <w:pPr>
        <w:numPr>
          <w:ilvl w:val="0"/>
          <w:numId w:val="1001"/>
        </w:numPr>
      </w:pPr>
      <w:r>
        <w:t xml:space="preserve">Answer:</w:t>
      </w:r>
    </w:p>
    <w:p>
      <w:pPr>
        <w:numPr>
          <w:ilvl w:val="0"/>
          <w:numId w:val="1001"/>
        </w:numPr>
      </w:pPr>
      <w:r>
        <w:t xml:space="preserve">Justification: This work does not release a new high-risk pretrained model or scraped dataset; it analyzes existing robot policies in simulation.</w:t>
      </w:r>
    </w:p>
    <w:p>
      <w:pPr>
        <w:numPr>
          <w:ilvl w:val="0"/>
          <w:numId w:val="1001"/>
        </w:numPr>
      </w:pPr>
      <w:r>
        <w:t xml:space="preserve">Guidelines:</w:t>
      </w:r>
    </w:p>
    <w:p>
      <w:pPr>
        <w:numPr>
          <w:ilvl w:val="1"/>
          <w:numId w:val="1013"/>
        </w:numPr>
      </w:pPr>
      <w:r>
        <w:t xml:space="preserve">The answer means that the paper poses no such risks.</w:t>
      </w:r>
    </w:p>
    <w:p>
      <w:pPr>
        <w:numPr>
          <w:ilvl w:val="1"/>
          <w:numId w:val="1013"/>
        </w:numPr>
      </w:pPr>
      <w:r>
        <w:t xml:space="preserve">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numPr>
          <w:ilvl w:val="1"/>
          <w:numId w:val="1013"/>
        </w:numPr>
      </w:pPr>
      <w:r>
        <w:t xml:space="preserve">Datasets that have been scraped from the Internet could pose safety risks. The authors should describe how they avoided releasing unsafe images.</w:t>
      </w:r>
    </w:p>
    <w:p>
      <w:pPr>
        <w:numPr>
          <w:ilvl w:val="1"/>
          <w:numId w:val="1013"/>
        </w:numPr>
      </w:pPr>
      <w:r>
        <w:t xml:space="preserve">We recognize that providing effective safeguards is challenging, and many papers do not require this, but we encourage authors to take this into account and make a best faith effort.</w:t>
      </w:r>
    </w:p>
    <w:p>
      <w:pPr>
        <w:numPr>
          <w:ilvl w:val="0"/>
          <w:numId w:val="1001"/>
        </w:numPr>
      </w:pPr>
      <w:r>
        <w:rPr>
          <w:b/>
          <w:bCs/>
        </w:rPr>
        <w:t xml:space="preserve">Licenses for existing assets</w:t>
      </w:r>
    </w:p>
    <w:p>
      <w:pPr>
        <w:numPr>
          <w:ilvl w:val="0"/>
          <w:numId w:val="1001"/>
        </w:numPr>
      </w:pPr>
      <w:r>
        <w:t xml:space="preserve">Question: Are the creators or original owners of assets (e.g., code, data, models), used in the paper, properly credited and are the license and terms of use explicitly mentioned and properly respected?</w:t>
      </w:r>
    </w:p>
    <w:p>
      <w:pPr>
        <w:numPr>
          <w:ilvl w:val="0"/>
          <w:numId w:val="1001"/>
        </w:numPr>
      </w:pPr>
      <w:r>
        <w:t xml:space="preserve">Answer:</w:t>
      </w:r>
    </w:p>
    <w:p>
      <w:pPr>
        <w:numPr>
          <w:ilvl w:val="0"/>
          <w:numId w:val="1001"/>
        </w:numPr>
      </w:pPr>
      <w:r>
        <w:t xml:space="preserve">Justification: Existing assets are cited and exact source revisions are recorded, but an explicit license inventory for every upstream code and benchmark asset remains to be added before submission.</w:t>
      </w:r>
    </w:p>
    <w:p>
      <w:pPr>
        <w:numPr>
          <w:ilvl w:val="0"/>
          <w:numId w:val="1001"/>
        </w:numPr>
      </w:pPr>
      <w:r>
        <w:t xml:space="preserve">Guidelines:</w:t>
      </w:r>
    </w:p>
    <w:p>
      <w:pPr>
        <w:numPr>
          <w:ilvl w:val="1"/>
          <w:numId w:val="1014"/>
        </w:numPr>
      </w:pPr>
      <w:r>
        <w:t xml:space="preserve">The answer means that the paper does not use existing assets.</w:t>
      </w:r>
    </w:p>
    <w:p>
      <w:pPr>
        <w:numPr>
          <w:ilvl w:val="1"/>
          <w:numId w:val="1014"/>
        </w:numPr>
      </w:pPr>
      <w:r>
        <w:t xml:space="preserve">The authors should cite the original paper that produced the code package or dataset.</w:t>
      </w:r>
    </w:p>
    <w:p>
      <w:pPr>
        <w:numPr>
          <w:ilvl w:val="1"/>
          <w:numId w:val="1014"/>
        </w:numPr>
      </w:pPr>
      <w:r>
        <w:t xml:space="preserve">The authors should state which version of the asset is used and, if possible, include a URL.</w:t>
      </w:r>
    </w:p>
    <w:p>
      <w:pPr>
        <w:numPr>
          <w:ilvl w:val="1"/>
          <w:numId w:val="1014"/>
        </w:numPr>
      </w:pPr>
      <w:r>
        <w:t xml:space="preserve">The name of the license (e.g., CC-BY 4.0) should be included for each asset.</w:t>
      </w:r>
    </w:p>
    <w:p>
      <w:pPr>
        <w:numPr>
          <w:ilvl w:val="1"/>
          <w:numId w:val="1014"/>
        </w:numPr>
      </w:pPr>
      <w:r>
        <w:t xml:space="preserve">For scraped data from a particular source (e.g., website), the copyright and terms of service of that source should be provided.</w:t>
      </w:r>
    </w:p>
    <w:p>
      <w:pPr>
        <w:numPr>
          <w:ilvl w:val="1"/>
          <w:numId w:val="1014"/>
        </w:numPr>
      </w:pPr>
      <w:r>
        <w:t xml:space="preserve">If assets are released, the license, copyright information, and terms of use in the package should be provided. For popular datasets,</w:t>
      </w:r>
      <w:r>
        <w:t xml:space="preserve"> </w:t>
      </w:r>
      <w:hyperlink r:id="rId51">
        <w:r>
          <w:rPr>
            <w:rStyle w:val="Hyperlink"/>
          </w:rPr>
          <w:t xml:space="preserve">paperswithcode.com/datasets</w:t>
        </w:r>
      </w:hyperlink>
      <w:r>
        <w:t xml:space="preserve"> </w:t>
      </w:r>
      <w:r>
        <w:t xml:space="preserve">has curated licenses for some datasets. Their licensing guide can help determine the license of a dataset.</w:t>
      </w:r>
    </w:p>
    <w:p>
      <w:pPr>
        <w:numPr>
          <w:ilvl w:val="1"/>
          <w:numId w:val="1014"/>
        </w:numPr>
      </w:pPr>
      <w:r>
        <w:t xml:space="preserve">For existing datasets that are re-packaged, both the original license and the license of the derived asset (if it has changed) should be provided.</w:t>
      </w:r>
    </w:p>
    <w:p>
      <w:pPr>
        <w:numPr>
          <w:ilvl w:val="1"/>
          <w:numId w:val="1014"/>
        </w:numPr>
      </w:pPr>
      <w:r>
        <w:t xml:space="preserve">If this information is not available online, the authors are encouraged to reach out to the asset’s creators.</w:t>
      </w:r>
    </w:p>
    <w:p>
      <w:pPr>
        <w:numPr>
          <w:ilvl w:val="0"/>
          <w:numId w:val="1001"/>
        </w:numPr>
      </w:pPr>
      <w:r>
        <w:rPr>
          <w:b/>
          <w:bCs/>
        </w:rPr>
        <w:t xml:space="preserve">New assets</w:t>
      </w:r>
    </w:p>
    <w:p>
      <w:pPr>
        <w:numPr>
          <w:ilvl w:val="0"/>
          <w:numId w:val="1001"/>
        </w:numPr>
      </w:pPr>
      <w:r>
        <w:t xml:space="preserve">Question: Are new assets introduced in the paper well documented and is the documentation provided alongside the assets?</w:t>
      </w:r>
    </w:p>
    <w:p>
      <w:pPr>
        <w:numPr>
          <w:ilvl w:val="0"/>
          <w:numId w:val="1001"/>
        </w:numPr>
      </w:pPr>
      <w:r>
        <w:t xml:space="preserve">Answer:</w:t>
      </w:r>
    </w:p>
    <w:p>
      <w:pPr>
        <w:numPr>
          <w:ilvl w:val="0"/>
          <w:numId w:val="1001"/>
        </w:numPr>
      </w:pPr>
      <w:r>
        <w:t xml:space="preserve">Justification: New intervention code and result manifests are documented in the working artifact, but the anonymized release package and its final license are not yet attached to this draft.</w:t>
      </w:r>
    </w:p>
    <w:p>
      <w:pPr>
        <w:numPr>
          <w:ilvl w:val="0"/>
          <w:numId w:val="1001"/>
        </w:numPr>
      </w:pPr>
      <w:r>
        <w:t xml:space="preserve">Guidelines:</w:t>
      </w:r>
    </w:p>
    <w:p>
      <w:pPr>
        <w:numPr>
          <w:ilvl w:val="1"/>
          <w:numId w:val="1015"/>
        </w:numPr>
      </w:pPr>
      <w:r>
        <w:t xml:space="preserve">The answer means that the paper does not release new assets.</w:t>
      </w:r>
    </w:p>
    <w:p>
      <w:pPr>
        <w:numPr>
          <w:ilvl w:val="1"/>
          <w:numId w:val="1015"/>
        </w:numPr>
      </w:pPr>
      <w:r>
        <w:t xml:space="preserve">Researchers should communicate the details of the dataset/code/model as part of their submissions via structured templates. This includes details about training, license, limitations, etc.</w:t>
      </w:r>
    </w:p>
    <w:p>
      <w:pPr>
        <w:numPr>
          <w:ilvl w:val="1"/>
          <w:numId w:val="1015"/>
        </w:numPr>
      </w:pPr>
      <w:r>
        <w:t xml:space="preserve">The paper should discuss whether and how consent was obtained from people whose asset is used.</w:t>
      </w:r>
    </w:p>
    <w:p>
      <w:pPr>
        <w:numPr>
          <w:ilvl w:val="1"/>
          <w:numId w:val="1015"/>
        </w:numPr>
      </w:pPr>
      <w:r>
        <w:t xml:space="preserve">At submission time, remember to anonymize your assets (if applicable). You can either create an anonymized URL or include an anonymized zip file.</w:t>
      </w:r>
    </w:p>
    <w:p>
      <w:pPr>
        <w:numPr>
          <w:ilvl w:val="0"/>
          <w:numId w:val="1001"/>
        </w:numPr>
      </w:pPr>
      <w:r>
        <w:rPr>
          <w:b/>
          <w:bCs/>
        </w:rPr>
        <w:t xml:space="preserve">Crowdsourcing and research with human subjects</w:t>
      </w:r>
    </w:p>
    <w:p>
      <w:pPr>
        <w:numPr>
          <w:ilvl w:val="0"/>
          <w:numId w:val="1001"/>
        </w:numPr>
      </w:pPr>
      <w:r>
        <w:t xml:space="preserve">Question: For crowdsourcing experiments and research with human subjects, does the paper include the full text of instructions given to participants and screenshots, if applicable, as well as details about compensation (if any)?</w:t>
      </w:r>
    </w:p>
    <w:p>
      <w:pPr>
        <w:numPr>
          <w:ilvl w:val="0"/>
          <w:numId w:val="1001"/>
        </w:numPr>
      </w:pPr>
      <w:r>
        <w:t xml:space="preserve">Answer:</w:t>
      </w:r>
    </w:p>
    <w:p>
      <w:pPr>
        <w:numPr>
          <w:ilvl w:val="0"/>
          <w:numId w:val="1001"/>
        </w:numPr>
      </w:pPr>
      <w:r>
        <w:t xml:space="preserve">Justification: The research contains no crowdsourcing and no human participants.</w:t>
      </w:r>
    </w:p>
    <w:p>
      <w:pPr>
        <w:numPr>
          <w:ilvl w:val="0"/>
          <w:numId w:val="1001"/>
        </w:numPr>
      </w:pPr>
      <w:r>
        <w:t xml:space="preserve">Guidelines:</w:t>
      </w:r>
    </w:p>
    <w:p>
      <w:pPr>
        <w:numPr>
          <w:ilvl w:val="1"/>
          <w:numId w:val="1016"/>
        </w:numPr>
      </w:pPr>
      <w:r>
        <w:t xml:space="preserve">The answer means that the paper does not involve crowdsourcing nor research with human subjects.</w:t>
      </w:r>
    </w:p>
    <w:p>
      <w:pPr>
        <w:numPr>
          <w:ilvl w:val="1"/>
          <w:numId w:val="1016"/>
        </w:numPr>
      </w:pPr>
      <w:r>
        <w:t xml:space="preserve">Including this information in the supplemental material is fine, but if the main contribution of the paper involves human subjects, then as much detail as possible should be included in the main paper.</w:t>
      </w:r>
    </w:p>
    <w:p>
      <w:pPr>
        <w:numPr>
          <w:ilvl w:val="1"/>
          <w:numId w:val="1016"/>
        </w:numPr>
      </w:pPr>
      <w:r>
        <w:t xml:space="preserve">According to the NeurIPS Code of Ethics, workers involved in data collection, curation, or other labor should be paid at least the minimum wage in the country of the data collector.</w:t>
      </w:r>
    </w:p>
    <w:p>
      <w:pPr>
        <w:numPr>
          <w:ilvl w:val="0"/>
          <w:numId w:val="1001"/>
        </w:numPr>
      </w:pPr>
      <w:r>
        <w:rPr>
          <w:b/>
          <w:bCs/>
        </w:rPr>
        <w:t xml:space="preserve">Institutional review board (IRB) approvals or equivalent for research with human subjects</w:t>
      </w:r>
    </w:p>
    <w:p>
      <w:pPr>
        <w:numPr>
          <w:ilvl w:val="0"/>
          <w:numId w:val="1001"/>
        </w:numPr>
      </w:pPr>
      <w:r>
        <w:t xml:space="preserve">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numPr>
          <w:ilvl w:val="0"/>
          <w:numId w:val="1001"/>
        </w:numPr>
      </w:pPr>
      <w:r>
        <w:t xml:space="preserve">Answer:</w:t>
      </w:r>
    </w:p>
    <w:p>
      <w:pPr>
        <w:numPr>
          <w:ilvl w:val="0"/>
          <w:numId w:val="1001"/>
        </w:numPr>
      </w:pPr>
      <w:r>
        <w:t xml:space="preserve">Justification: The research contains no human-subject data collection or interaction.</w:t>
      </w:r>
    </w:p>
    <w:p>
      <w:pPr>
        <w:numPr>
          <w:ilvl w:val="0"/>
          <w:numId w:val="1001"/>
        </w:numPr>
      </w:pPr>
      <w:r>
        <w:t xml:space="preserve">Guidelines:</w:t>
      </w:r>
    </w:p>
    <w:p>
      <w:pPr>
        <w:numPr>
          <w:ilvl w:val="1"/>
          <w:numId w:val="1017"/>
        </w:numPr>
      </w:pPr>
      <w:r>
        <w:t xml:space="preserve">The answer means that the paper does not involve crowdsourcing nor research with human subjects.</w:t>
      </w:r>
    </w:p>
    <w:p>
      <w:pPr>
        <w:numPr>
          <w:ilvl w:val="1"/>
          <w:numId w:val="1017"/>
        </w:numPr>
      </w:pPr>
      <w:r>
        <w:t xml:space="preserve">Depending on the country in which research is conducted, IRB approval (or equivalent) may be required for any human subjects research. If you obtained IRB approval, you should clearly state this in the paper.</w:t>
      </w:r>
    </w:p>
    <w:p>
      <w:pPr>
        <w:numPr>
          <w:ilvl w:val="1"/>
          <w:numId w:val="1017"/>
        </w:numPr>
      </w:pPr>
      <w:r>
        <w:t xml:space="preserve">We recognize that the procedures for this may vary significantly between institutions and locations, and we expect authors to adhere to the NeurIPS Code of Ethics and the guidelines for their institution.</w:t>
      </w:r>
    </w:p>
    <w:p>
      <w:pPr>
        <w:numPr>
          <w:ilvl w:val="1"/>
          <w:numId w:val="1017"/>
        </w:numPr>
      </w:pPr>
      <w:r>
        <w:t xml:space="preserve">For initial submissions, do not include any information that would break anonymity (if applicable), such as the institution conducting the review.</w:t>
      </w:r>
    </w:p>
    <w:p>
      <w:pPr>
        <w:numPr>
          <w:ilvl w:val="0"/>
          <w:numId w:val="1001"/>
        </w:numPr>
      </w:pPr>
      <w:r>
        <w:rPr>
          <w:b/>
          <w:bCs/>
        </w:rPr>
        <w:t xml:space="preserve">Declaration of LLM usage</w:t>
      </w:r>
    </w:p>
    <w:p>
      <w:pPr>
        <w:numPr>
          <w:ilvl w:val="0"/>
          <w:numId w:val="1001"/>
        </w:numPr>
      </w:pPr>
      <w:r>
        <w:t xml:space="preserve">Question: Does the paper describe the usage of LLMs if it is an important, original, or non-standard component of the core methods in this research? Note that if the LLM is used only for writing, editing, or formatting purposes and does</w:t>
      </w:r>
      <w:r>
        <w:t xml:space="preserve"> </w:t>
      </w:r>
      <w:r>
        <w:rPr>
          <w:i/>
          <w:iCs/>
        </w:rPr>
        <w:t xml:space="preserve">not</w:t>
      </w:r>
      <w:r>
        <w:t xml:space="preserve"> </w:t>
      </w:r>
      <w:r>
        <w:t xml:space="preserve">impact the core methodology, scientific rigor, or originality of the research, declaration is not required.</w:t>
      </w:r>
    </w:p>
    <w:p>
      <w:pPr>
        <w:numPr>
          <w:ilvl w:val="0"/>
          <w:numId w:val="1001"/>
        </w:numPr>
      </w:pPr>
      <w:r>
        <w:t xml:space="preserve">Answer:</w:t>
      </w:r>
    </w:p>
    <w:p>
      <w:pPr>
        <w:numPr>
          <w:ilvl w:val="0"/>
          <w:numId w:val="1001"/>
        </w:numPr>
      </w:pPr>
      <w:r>
        <w:t xml:space="preserve">Justification: Language models were used only for writing and formatting assistance, not as a component of the experimental method or scientific evaluation.</w:t>
      </w:r>
    </w:p>
    <w:p>
      <w:pPr>
        <w:numPr>
          <w:ilvl w:val="0"/>
          <w:numId w:val="1001"/>
        </w:numPr>
      </w:pPr>
      <w:r>
        <w:t xml:space="preserve">Guidelines:</w:t>
      </w:r>
    </w:p>
    <w:p>
      <w:pPr>
        <w:numPr>
          <w:ilvl w:val="1"/>
          <w:numId w:val="1018"/>
        </w:numPr>
      </w:pPr>
      <w:r>
        <w:t xml:space="preserve">The answer means that the core method development in this research does not involve LLMs as any important, original, or non-standard components.</w:t>
      </w:r>
    </w:p>
    <w:p>
      <w:pPr>
        <w:numPr>
          <w:ilvl w:val="1"/>
          <w:numId w:val="1018"/>
        </w:numPr>
      </w:pPr>
      <w:r>
        <w:t xml:space="preserve">Please refer to our LLM policy in the NeurIPS handbook for what should or should not be described.</w:t>
      </w:r>
    </w:p>
    <w:bookmarkStart w:id="100" w:name="refs"/>
    <w:bookmarkStart w:id="53"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2">
        <w:r>
          <w:rPr>
            <w:rStyle w:val="Hyperlink"/>
          </w:rPr>
          <w:t xml:space="preserve">https://proceedings.neurips.cc/paper_files/paper/2023/hash/1d5b9233ad716a43be5c0d3023cb82d0-Abstract.html</w:t>
        </w:r>
      </w:hyperlink>
      <w:r>
        <w:t xml:space="preserve">.</w:t>
      </w:r>
    </w:p>
    <w:bookmarkEnd w:id="53"/>
    <w:bookmarkStart w:id="55"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4">
        <w:r>
          <w:rPr>
            <w:rStyle w:val="Hyperlink"/>
          </w:rPr>
          <w:t xml:space="preserve">https://openreview.net/forum?id=9pKtcJcMP3</w:t>
        </w:r>
      </w:hyperlink>
      <w:r>
        <w:t xml:space="preserve">.</w:t>
      </w:r>
    </w:p>
    <w:bookmarkEnd w:id="55"/>
    <w:bookmarkStart w:id="57"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6">
        <w:r>
          <w:rPr>
            <w:rStyle w:val="Hyperlink"/>
          </w:rPr>
          <w:t xml:space="preserve">https://arxiv.org/abs/1812.00568</w:t>
        </w:r>
      </w:hyperlink>
      <w:r>
        <w:t xml:space="preserve">.</w:t>
      </w:r>
    </w:p>
    <w:bookmarkEnd w:id="57"/>
    <w:bookmarkStart w:id="59"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8">
        <w:r>
          <w:rPr>
            <w:rStyle w:val="Hyperlink"/>
          </w:rPr>
          <w:t xml:space="preserve">https://doi.org/10.1111/j.1467-9868.2007.00593.x</w:t>
        </w:r>
      </w:hyperlink>
      <w:r>
        <w:t xml:space="preserve">.</w:t>
      </w:r>
    </w:p>
    <w:bookmarkEnd w:id="59"/>
    <w:bookmarkStart w:id="61"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60">
        <w:r>
          <w:rPr>
            <w:rStyle w:val="Hyperlink"/>
          </w:rPr>
          <w:t xml:space="preserve">https://doi.org/10.48550/arXiv.2304.05969</w:t>
        </w:r>
      </w:hyperlink>
      <w:r>
        <w:t xml:space="preserve">.</w:t>
      </w:r>
    </w:p>
    <w:bookmarkEnd w:id="61"/>
    <w:bookmarkStart w:id="63"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2">
        <w:r>
          <w:rPr>
            <w:rStyle w:val="Hyperlink"/>
          </w:rPr>
          <w:t xml:space="preserve">https://doi.org/10.52202/079017-3570</w:t>
        </w:r>
      </w:hyperlink>
      <w:r>
        <w:t xml:space="preserve">.</w:t>
      </w:r>
    </w:p>
    <w:bookmarkEnd w:id="63"/>
    <w:bookmarkStart w:id="65"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4">
        <w:r>
          <w:rPr>
            <w:rStyle w:val="Hyperlink"/>
          </w:rPr>
          <w:t xml:space="preserve">https://proceedings.mlr.press/v267/hu25g.html</w:t>
        </w:r>
      </w:hyperlink>
      <w:r>
        <w:t xml:space="preserve">.</w:t>
      </w:r>
    </w:p>
    <w:bookmarkEnd w:id="65"/>
    <w:bookmarkStart w:id="67"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6">
        <w:r>
          <w:rPr>
            <w:rStyle w:val="Hyperlink"/>
          </w:rPr>
          <w:t xml:space="preserve">https://openreview.net/forum?id=wPEIStHxYH</w:t>
        </w:r>
      </w:hyperlink>
      <w:r>
        <w:t xml:space="preserve">.</w:t>
      </w:r>
    </w:p>
    <w:bookmarkEnd w:id="67"/>
    <w:bookmarkStart w:id="69"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8">
        <w:r>
          <w:rPr>
            <w:rStyle w:val="Hyperlink"/>
          </w:rPr>
          <w:t xml:space="preserve">https://doi.org/10.1177/1948550617697177</w:t>
        </w:r>
      </w:hyperlink>
      <w:r>
        <w:t xml:space="preserve">.</w:t>
      </w:r>
    </w:p>
    <w:bookmarkEnd w:id="69"/>
    <w:bookmarkStart w:id="71"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70">
        <w:r>
          <w:rPr>
            <w:rStyle w:val="Hyperlink"/>
          </w:rPr>
          <w:t xml:space="preserve">https://doi.org/10.48550/arXiv.2503.00200</w:t>
        </w:r>
      </w:hyperlink>
      <w:r>
        <w:t xml:space="preserve">.</w:t>
      </w:r>
    </w:p>
    <w:bookmarkEnd w:id="71"/>
    <w:bookmarkStart w:id="73"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2">
        <w:r>
          <w:rPr>
            <w:rStyle w:val="Hyperlink"/>
          </w:rPr>
          <w:t xml:space="preserve">https://doi.org/10.52202/075280-1939</w:t>
        </w:r>
      </w:hyperlink>
      <w:r>
        <w:t xml:space="preserve">.</w:t>
      </w:r>
    </w:p>
    <w:bookmarkEnd w:id="73"/>
    <w:bookmarkStart w:id="75"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4">
        <w:r>
          <w:rPr>
            <w:rStyle w:val="Hyperlink"/>
          </w:rPr>
          <w:t xml:space="preserve">https://doi.org/10.52202/068431-1262</w:t>
        </w:r>
      </w:hyperlink>
      <w:r>
        <w:t xml:space="preserve">.</w:t>
      </w:r>
    </w:p>
    <w:bookmarkEnd w:id="75"/>
    <w:bookmarkStart w:id="77"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6">
        <w:r>
          <w:rPr>
            <w:rStyle w:val="Hyperlink"/>
          </w:rPr>
          <w:t xml:space="preserve">https://doi.org/10.15607/RSS.2024.XX.050</w:t>
        </w:r>
      </w:hyperlink>
      <w:r>
        <w:t xml:space="preserve">.</w:t>
      </w:r>
    </w:p>
    <w:bookmarkEnd w:id="77"/>
    <w:bookmarkStart w:id="79"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8">
        <w:r>
          <w:rPr>
            <w:rStyle w:val="Hyperlink"/>
          </w:rPr>
          <w:t xml:space="preserve">https://doi.org/10.48550/arXiv.2606.02800</w:t>
        </w:r>
      </w:hyperlink>
      <w:r>
        <w:t xml:space="preserve">.</w:t>
      </w:r>
    </w:p>
    <w:bookmarkEnd w:id="79"/>
    <w:bookmarkStart w:id="81"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80">
        <w:r>
          <w:rPr>
            <w:rStyle w:val="Hyperlink"/>
          </w:rPr>
          <w:t xml:space="preserve">https://huggingface.co/nvidia/Cosmos3-Nano-Policy-DROID</w:t>
        </w:r>
      </w:hyperlink>
      <w:r>
        <w:t xml:space="preserve">.</w:t>
      </w:r>
    </w:p>
    <w:bookmarkEnd w:id="81"/>
    <w:bookmarkStart w:id="83"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2">
        <w:r>
          <w:rPr>
            <w:rStyle w:val="Hyperlink"/>
          </w:rPr>
          <w:t xml:space="preserve">https://doi.org/10.48550/arXiv.2606.12217</w:t>
        </w:r>
      </w:hyperlink>
      <w:r>
        <w:t xml:space="preserve">.</w:t>
      </w:r>
    </w:p>
    <w:bookmarkEnd w:id="83"/>
    <w:bookmarkStart w:id="85"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4">
        <w:r>
          <w:rPr>
            <w:rStyle w:val="Hyperlink"/>
          </w:rPr>
          <w:t xml:space="preserve">https://doi.org/10.48550/arXiv.2606.27510</w:t>
        </w:r>
      </w:hyperlink>
      <w:r>
        <w:t xml:space="preserve">.</w:t>
      </w:r>
    </w:p>
    <w:bookmarkEnd w:id="85"/>
    <w:bookmarkStart w:id="87"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6">
        <w:r>
          <w:rPr>
            <w:rStyle w:val="Hyperlink"/>
          </w:rPr>
          <w:t xml:space="preserve">https://proceedings.neurips.cc/paper/2020/hash/92650b2e92217715fe312e6fa7b90d82-Abstract.html</w:t>
        </w:r>
      </w:hyperlink>
      <w:r>
        <w:t xml:space="preserve">.</w:t>
      </w:r>
    </w:p>
    <w:bookmarkEnd w:id="87"/>
    <w:bookmarkStart w:id="89"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8">
        <w:r>
          <w:rPr>
            <w:rStyle w:val="Hyperlink"/>
          </w:rPr>
          <w:t xml:space="preserve">https://doi.org/10.15607/RSS.2026.XXII.096</w:t>
        </w:r>
      </w:hyperlink>
      <w:r>
        <w:t xml:space="preserve">.</w:t>
      </w:r>
    </w:p>
    <w:bookmarkEnd w:id="89"/>
    <w:bookmarkStart w:id="91"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90">
        <w:r>
          <w:rPr>
            <w:rStyle w:val="Hyperlink"/>
          </w:rPr>
          <w:t xml:space="preserve">https://doi.org/10.48550/arXiv.2602.15922</w:t>
        </w:r>
      </w:hyperlink>
      <w:r>
        <w:t xml:space="preserve">.</w:t>
      </w:r>
    </w:p>
    <w:bookmarkEnd w:id="91"/>
    <w:bookmarkStart w:id="93"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2">
        <w:r>
          <w:rPr>
            <w:rStyle w:val="Hyperlink"/>
          </w:rPr>
          <w:t xml:space="preserve">https://doi.org/10.48550/arXiv.2603.16666</w:t>
        </w:r>
      </w:hyperlink>
      <w:r>
        <w:t xml:space="preserve">.</w:t>
      </w:r>
    </w:p>
    <w:bookmarkEnd w:id="93"/>
    <w:bookmarkStart w:id="95"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4">
        <w:r>
          <w:rPr>
            <w:rStyle w:val="Hyperlink"/>
          </w:rPr>
          <w:t xml:space="preserve">https://doi.org/10.48550/arXiv.2608.11521</w:t>
        </w:r>
      </w:hyperlink>
      <w:r>
        <w:t xml:space="preserve">.</w:t>
      </w:r>
    </w:p>
    <w:bookmarkEnd w:id="95"/>
    <w:bookmarkStart w:id="97"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6">
        <w:r>
          <w:rPr>
            <w:rStyle w:val="Hyperlink"/>
          </w:rPr>
          <w:t xml:space="preserve">https://openreview.net/forum?id=Hf17y6u9BC</w:t>
        </w:r>
      </w:hyperlink>
      <w:r>
        <w:t xml:space="preserve">.</w:t>
      </w:r>
    </w:p>
    <w:bookmarkEnd w:id="97"/>
    <w:bookmarkStart w:id="99"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8">
        <w:r>
          <w:rPr>
            <w:rStyle w:val="Hyperlink"/>
          </w:rPr>
          <w:t xml:space="preserve">https://doi.org/10.48550/arXiv.2608.04404</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hyperlink" Id="rId56" Target="https://arxiv.org/abs/1812.00568" TargetMode="External" /><Relationship Type="http://schemas.openxmlformats.org/officeDocument/2006/relationships/hyperlink" Id="rId58" Target="https://doi.org/10.1111/j.1467-9868.2007.00593.x" TargetMode="External" /><Relationship Type="http://schemas.openxmlformats.org/officeDocument/2006/relationships/hyperlink" Id="rId68" Target="https://doi.org/10.1177/1948550617697177" TargetMode="External" /><Relationship Type="http://schemas.openxmlformats.org/officeDocument/2006/relationships/hyperlink" Id="rId76" Target="https://doi.org/10.15607/RSS.2024.XX.050" TargetMode="External" /><Relationship Type="http://schemas.openxmlformats.org/officeDocument/2006/relationships/hyperlink" Id="rId88" Target="https://doi.org/10.15607/RSS.2026.XXII.096" TargetMode="External" /><Relationship Type="http://schemas.openxmlformats.org/officeDocument/2006/relationships/hyperlink" Id="rId60" Target="https://doi.org/10.48550/arXiv.2304.05969" TargetMode="External" /><Relationship Type="http://schemas.openxmlformats.org/officeDocument/2006/relationships/hyperlink" Id="rId70" Target="https://doi.org/10.48550/arXiv.2503.00200" TargetMode="External" /><Relationship Type="http://schemas.openxmlformats.org/officeDocument/2006/relationships/hyperlink" Id="rId90" Target="https://doi.org/10.48550/arXiv.2602.15922" TargetMode="External" /><Relationship Type="http://schemas.openxmlformats.org/officeDocument/2006/relationships/hyperlink" Id="rId92" Target="https://doi.org/10.48550/arXiv.2603.16666" TargetMode="External" /><Relationship Type="http://schemas.openxmlformats.org/officeDocument/2006/relationships/hyperlink" Id="rId78" Target="https://doi.org/10.48550/arXiv.2606.02800" TargetMode="External" /><Relationship Type="http://schemas.openxmlformats.org/officeDocument/2006/relationships/hyperlink" Id="rId82" Target="https://doi.org/10.48550/arXiv.2606.12217" TargetMode="External" /><Relationship Type="http://schemas.openxmlformats.org/officeDocument/2006/relationships/hyperlink" Id="rId84" Target="https://doi.org/10.48550/arXiv.2606.27510" TargetMode="External" /><Relationship Type="http://schemas.openxmlformats.org/officeDocument/2006/relationships/hyperlink" Id="rId98" Target="https://doi.org/10.48550/arXiv.2608.04404" TargetMode="External" /><Relationship Type="http://schemas.openxmlformats.org/officeDocument/2006/relationships/hyperlink" Id="rId94" Target="https://doi.org/10.48550/arXiv.2608.11521" TargetMode="External" /><Relationship Type="http://schemas.openxmlformats.org/officeDocument/2006/relationships/hyperlink" Id="rId74" Target="https://doi.org/10.52202/068431-1262" TargetMode="External" /><Relationship Type="http://schemas.openxmlformats.org/officeDocument/2006/relationships/hyperlink" Id="rId72" Target="https://doi.org/10.52202/075280-1939" TargetMode="External" /><Relationship Type="http://schemas.openxmlformats.org/officeDocument/2006/relationships/hyperlink" Id="rId62" Target="https://doi.org/10.52202/079017-3570" TargetMode="External" /><Relationship Type="http://schemas.openxmlformats.org/officeDocument/2006/relationships/hyperlink" Id="rId80" Target="https://huggingface.co/nvidia/Cosmos3-Nano-Policy-DROID" TargetMode="External" /><Relationship Type="http://schemas.openxmlformats.org/officeDocument/2006/relationships/hyperlink" Id="rId50" Target="https://neurips.cc/public/EthicsGuidelines" TargetMode="External" /><Relationship Type="http://schemas.openxmlformats.org/officeDocument/2006/relationships/hyperlink" Id="rId49" Target="https://neurips.cc/public/guides/CodeSubmissionPolicy" TargetMode="External" /><Relationship Type="http://schemas.openxmlformats.org/officeDocument/2006/relationships/hyperlink" Id="rId54" Target="https://openreview.net/forum?id=9pKtcJcMP3" TargetMode="External" /><Relationship Type="http://schemas.openxmlformats.org/officeDocument/2006/relationships/hyperlink" Id="rId96" Target="https://openreview.net/forum?id=Hf17y6u9BC" TargetMode="External" /><Relationship Type="http://schemas.openxmlformats.org/officeDocument/2006/relationships/hyperlink" Id="rId66" Target="https://openreview.net/forum?id=wPEIStHxYH" TargetMode="External" /><Relationship Type="http://schemas.openxmlformats.org/officeDocument/2006/relationships/hyperlink" Id="rId64" Target="https://proceedings.mlr.press/v267/hu25g.html" TargetMode="External" /><Relationship Type="http://schemas.openxmlformats.org/officeDocument/2006/relationships/hyperlink" Id="rId86" Target="https://proceedings.neurips.cc/paper/2020/hash/92650b2e92217715fe312e6fa7b90d82-Abstract.html" TargetMode="External" /><Relationship Type="http://schemas.openxmlformats.org/officeDocument/2006/relationships/hyperlink" Id="rId52" Target="https://proceedings.neurips.cc/paper_files/paper/2023/hash/1d5b9233ad716a43be5c0d3023cb82d0-Abstract.html" TargetMode="External" /><Relationship Type="http://schemas.openxmlformats.org/officeDocument/2006/relationships/hyperlink" Id="rId51" Target="paperswithcode.com/datasets"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812.00568" TargetMode="External" /><Relationship Type="http://schemas.openxmlformats.org/officeDocument/2006/relationships/hyperlink" Id="rId58" Target="https://doi.org/10.1111/j.1467-9868.2007.00593.x" TargetMode="External" /><Relationship Type="http://schemas.openxmlformats.org/officeDocument/2006/relationships/hyperlink" Id="rId68" Target="https://doi.org/10.1177/1948550617697177" TargetMode="External" /><Relationship Type="http://schemas.openxmlformats.org/officeDocument/2006/relationships/hyperlink" Id="rId76" Target="https://doi.org/10.15607/RSS.2024.XX.050" TargetMode="External" /><Relationship Type="http://schemas.openxmlformats.org/officeDocument/2006/relationships/hyperlink" Id="rId88" Target="https://doi.org/10.15607/RSS.2026.XXII.096" TargetMode="External" /><Relationship Type="http://schemas.openxmlformats.org/officeDocument/2006/relationships/hyperlink" Id="rId60" Target="https://doi.org/10.48550/arXiv.2304.05969" TargetMode="External" /><Relationship Type="http://schemas.openxmlformats.org/officeDocument/2006/relationships/hyperlink" Id="rId70" Target="https://doi.org/10.48550/arXiv.2503.00200" TargetMode="External" /><Relationship Type="http://schemas.openxmlformats.org/officeDocument/2006/relationships/hyperlink" Id="rId90" Target="https://doi.org/10.48550/arXiv.2602.15922" TargetMode="External" /><Relationship Type="http://schemas.openxmlformats.org/officeDocument/2006/relationships/hyperlink" Id="rId92" Target="https://doi.org/10.48550/arXiv.2603.16666" TargetMode="External" /><Relationship Type="http://schemas.openxmlformats.org/officeDocument/2006/relationships/hyperlink" Id="rId78" Target="https://doi.org/10.48550/arXiv.2606.02800" TargetMode="External" /><Relationship Type="http://schemas.openxmlformats.org/officeDocument/2006/relationships/hyperlink" Id="rId82" Target="https://doi.org/10.48550/arXiv.2606.12217" TargetMode="External" /><Relationship Type="http://schemas.openxmlformats.org/officeDocument/2006/relationships/hyperlink" Id="rId84" Target="https://doi.org/10.48550/arXiv.2606.27510" TargetMode="External" /><Relationship Type="http://schemas.openxmlformats.org/officeDocument/2006/relationships/hyperlink" Id="rId98" Target="https://doi.org/10.48550/arXiv.2608.04404" TargetMode="External" /><Relationship Type="http://schemas.openxmlformats.org/officeDocument/2006/relationships/hyperlink" Id="rId94" Target="https://doi.org/10.48550/arXiv.2608.11521" TargetMode="External" /><Relationship Type="http://schemas.openxmlformats.org/officeDocument/2006/relationships/hyperlink" Id="rId74" Target="https://doi.org/10.52202/068431-1262" TargetMode="External" /><Relationship Type="http://schemas.openxmlformats.org/officeDocument/2006/relationships/hyperlink" Id="rId72" Target="https://doi.org/10.52202/075280-1939" TargetMode="External" /><Relationship Type="http://schemas.openxmlformats.org/officeDocument/2006/relationships/hyperlink" Id="rId62" Target="https://doi.org/10.52202/079017-3570" TargetMode="External" /><Relationship Type="http://schemas.openxmlformats.org/officeDocument/2006/relationships/hyperlink" Id="rId80" Target="https://huggingface.co/nvidia/Cosmos3-Nano-Policy-DROID" TargetMode="External" /><Relationship Type="http://schemas.openxmlformats.org/officeDocument/2006/relationships/hyperlink" Id="rId50" Target="https://neurips.cc/public/EthicsGuidelines" TargetMode="External" /><Relationship Type="http://schemas.openxmlformats.org/officeDocument/2006/relationships/hyperlink" Id="rId49" Target="https://neurips.cc/public/guides/CodeSubmissionPolicy" TargetMode="External" /><Relationship Type="http://schemas.openxmlformats.org/officeDocument/2006/relationships/hyperlink" Id="rId54" Target="https://openreview.net/forum?id=9pKtcJcMP3" TargetMode="External" /><Relationship Type="http://schemas.openxmlformats.org/officeDocument/2006/relationships/hyperlink" Id="rId96" Target="https://openreview.net/forum?id=Hf17y6u9BC" TargetMode="External" /><Relationship Type="http://schemas.openxmlformats.org/officeDocument/2006/relationships/hyperlink" Id="rId66" Target="https://openreview.net/forum?id=wPEIStHxYH" TargetMode="External" /><Relationship Type="http://schemas.openxmlformats.org/officeDocument/2006/relationships/hyperlink" Id="rId64" Target="https://proceedings.mlr.press/v267/hu25g.html" TargetMode="External" /><Relationship Type="http://schemas.openxmlformats.org/officeDocument/2006/relationships/hyperlink" Id="rId86" Target="https://proceedings.neurips.cc/paper/2020/hash/92650b2e92217715fe312e6fa7b90d82-Abstract.html" TargetMode="External" /><Relationship Type="http://schemas.openxmlformats.org/officeDocument/2006/relationships/hyperlink" Id="rId52" Target="https://proceedings.neurips.cc/paper_files/paper/2023/hash/1d5b9233ad716a43be5c0d3023cb82d0-Abstract.html" TargetMode="External" /><Relationship Type="http://schemas.openxmlformats.org/officeDocument/2006/relationships/hyperlink" Id="rId51" Target="paperswithcode.com/datas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2026-09-02T08:23:47Z</dcterms:created>
  <dcterms:modified xsi:type="dcterms:W3CDTF">2026-09-02T08:23:47Z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insert one run’s future into the other while holding the current observation, instruction, sampling noise, and denoising schedule fixed. If future content matters, the recomputed action should move specifically toward the action associated with the donor future. In Cosmos 3, a frozen study across 22 states and six RoboLab tasks finds predicted-future action steering of 0.992 and executed-future endpoint steering of 1.003 on a normalized recipient-to-donor scale. Replacing donor-run future-token keys and values with self-future counterparts reduces predicted-action steering by 0.877,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