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Joint generation, however, does not imply that the action computation uses the generated future. The policy could map the current observation and instruction directly to an action while producing a plausible future as an auxiliary output.</w:t>
      </w:r>
    </w:p>
    <w:p>
      <w:pPr>
        <w:pStyle w:val="BodyText"/>
      </w:pPr>
      <w:r>
        <w:t xml:space="preserve">We distinguish four mechanistically different—and potentially coexisting—roles for future representations. First, they may be</w:t>
      </w:r>
      <w:r>
        <w:t xml:space="preserve"> </w:t>
      </w:r>
      <w:r>
        <w:rPr>
          <w:i/>
          <w:iCs/>
        </w:rPr>
        <w:t xml:space="preserve">epiphenomenal</w:t>
      </w:r>
      <w:r>
        <w:t xml:space="preserve">: changing them has no causal effect on action. Second, they may provide a</w:t>
      </w:r>
      <w:r>
        <w:t xml:space="preserve"> </w:t>
      </w:r>
      <w:r>
        <w:rPr>
          <w:i/>
          <w:iCs/>
        </w:rPr>
        <w:t xml:space="preserve">nonspecific computational workspace</w:t>
      </w:r>
      <w:r>
        <w:t xml:space="preserve">: activity at future-token positions is necessary, but the represented future does not determine the direction of the action change. Third, their semantic content may</w:t>
      </w:r>
      <w:r>
        <w:t xml:space="preserve"> </w:t>
      </w:r>
      <w:r>
        <w:rPr>
          <w:i/>
          <w:iCs/>
        </w:rPr>
        <w:t xml:space="preserve">parameterize action</w:t>
      </w:r>
      <w:r>
        <w:t xml:space="preserve">, for example through an inverse-dynamics-like mapping from a prospective robot pose to the action that would realize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Fourth, they may encode consequences that are evaluated to select among candidate actions</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Only the fourth role entails outcome-based planning; the third establishes content-specific future use but does not, by itself, show that the model compares predicted outcomes.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334000" cy="222250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For the common-scale condition estimates in Table </w:t>
      </w:r>
      <w:hyperlink w:anchor="tab:directionality">
        <w:r>
          <w:rPr>
            <w:rStyle w:val="Hyperlink"/>
          </w:rPr>
          <w:t xml:space="preserve">1</w:t>
        </w:r>
      </w:hyperlink>
      <w:r>
        <w:t xml:space="preserve">, we reconstruct each control’s projection within unit from the registered pairwise contrasts before bootstrapping; these are not differences of aggregate means.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4" w:name="sec:results"/>
    <w:p>
      <w:pPr>
        <w:pStyle w:val="Heading1"/>
      </w:pPr>
      <w:r>
        <w:t xml:space="preserve">Results</w:t>
      </w:r>
    </w:p>
    <w:bookmarkStart w:id="32" w:name="sec:steering"/>
    <w:p>
      <w:pPr>
        <w:pStyle w:val="Heading2"/>
      </w:pP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directionality">
        <w:r>
          <w:rPr>
            <w:rStyle w:val="Hyperlink"/>
          </w:rPr>
          <w:t xml:space="preserve">1</w:t>
        </w:r>
      </w:hyperlink>
      <w:r>
        <w:t xml:space="preserve"> </w:t>
      </w:r>
      <w:r>
        <w:t xml:space="preserve">puts the method and every applicable control on one scale, organized by model, future source, and outcome. Figure </w:t>
      </w:r>
      <w:hyperlink w:anchor="fig:directionality">
        <w:r>
          <w:rPr>
            <w:rStyle w:val="Hyperlink"/>
          </w:rPr>
          <w:t xml:space="preserve">2</w:t>
        </w:r>
      </w:hyperlink>
      <w:r>
        <w:t xml:space="preserve"> </w:t>
      </w:r>
      <w:r>
        <w:t xml:space="preserve">shows the same comparison visually. On this scale, 0 is the self-future result and 1 is the paired donor behavior.</w:t>
      </w:r>
    </w:p>
    <w:bookmarkStart w:id="26" w:name="cosmos-3.-1"/>
    <w:p>
      <w:pPr>
        <w:pStyle w:val="Heading4"/>
      </w:pPr>
      <w:r>
        <w:t xml:space="preserve">Cosmos 3.</w:t>
      </w:r>
    </w:p>
    <w:p>
      <w:pPr>
        <w:pStyle w:val="FirstParagraph"/>
      </w:pPr>
      <w:r>
        <w:t xml:space="preserve">Across 22 completed states and all six tasks, a predicted paired-donor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compared with</w:t>
      </w:r>
      <w:r>
        <w:t xml:space="preserve"> </w:t>
      </w:r>
      <m:oMath>
        <m:r>
          <m:t>0.559</m:t>
        </m:r>
      </m:oMath>
      <w:r>
        <w:t xml:space="preserve"> </w:t>
      </w:r>
      <w:r>
        <w:t xml:space="preserve">for the natural-future control (Table </w:t>
      </w:r>
      <w:hyperlink w:anchor="tab:directionality">
        <w:r>
          <w:rPr>
            <w:rStyle w:val="Hyperlink"/>
          </w:rPr>
          <w:t xml:space="preserve">1</w:t>
        </w:r>
      </w:hyperlink>
      <w:r>
        <w:t xml:space="preserve">). Executed paired-donor videos produce action steering of</w:t>
      </w:r>
      <w:r>
        <w:t xml:space="preserve"> </w:t>
      </w:r>
      <m:oMath>
        <m:r>
          <m:t>0.983</m:t>
        </m:r>
      </m:oMath>
      <w:r>
        <w:t xml:space="preserve">, compared with</w:t>
      </w:r>
      <w:r>
        <w:t xml:space="preserve"> </w:t>
      </w:r>
      <m:oMath>
        <m:r>
          <m:t>0.591</m:t>
        </m:r>
      </m:oMath>
      <w:r>
        <w:t xml:space="preserve"> </w:t>
      </w:r>
      <w:r>
        <w:t xml:space="preserve">for the natural control and</w:t>
      </w:r>
      <w:r>
        <w:t xml:space="preserve"> </w:t>
      </w:r>
      <m:oMath>
        <m:r>
          <m:t>0.041</m:t>
        </m:r>
      </m:oMath>
      <w:r>
        <w:t xml:space="preserve"> </w:t>
      </w:r>
      <w:r>
        <w:t xml:space="preserve">for the geometry-matched Gaussian control. Executing the paired-donor-conditioned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directionality"/>
    <w:p>
      <w:pPr>
        <w:pStyle w:val="TableCaption"/>
        <w:keepNext/>
        <w:pageBreakBefore/>
      </w:pPr>
      <w:r>
        <w:t xml:space="preserve">Method and controls on one scale. Each row reports donor-directed projection after inserting the named future: 0 is the self-future result and 1 is the paired donor behavior. Within each model–source–outcome block, bold marks the largest estimate, always the paired donor. The paired donor exceeds the strongest available control in all five comparisons. Control projections are reconstructed within independent unit before bootstrapping.</w:t>
      </w:r>
    </w:p>
    <w:tbl>
      <w:tblPr>
        <w:tblStyle w:val="Table"/>
        <w:tblW w:type="auto" w:w="0"/>
        <w:tblLayout w:type="fixed"/>
        <w:tblLook w:firstRow="1" w:lastRow="0" w:firstColumn="0" w:lastColumn="0" w:noHBand="0" w:noVBand="0" w:val="0020"/>
        <w:tblCaption w:val="Method and controls on one scale. Each row reports donor-directed projection after inserting the named future: 0 is the self-future result and 1 is the paired donor behavior. Within each model–source–outcome block, bold marks the largest estimate, always the paired donor. The paired donor exceeds the strongest available control in all five comparisons. Control projections are reconstructed within independent unit before bootstrapping."/>
      </w:tblPr>
      <w:tblGrid>
        <w:gridCol w:w="1584"/>
        <w:gridCol w:w="1584"/>
        <w:gridCol w:w="1584"/>
        <w:gridCol w:w="1584"/>
        <w:gridCol w:w="1584"/>
      </w:tblGrid>
      <w:tr>
        <w:trPr>
          <w:tblHeader w:val="on"/>
          <w:cantSplit/>
        </w:trPr>
        <w:tc>
          <w:tcPr>
            <w:tcW w:type="dxa" w:w="1584"/>
          </w:tcPr>
          <w:p>
            <w:pPr>
              <w:pStyle w:val="Compact"/>
              <w:spacing w:before="0" w:after="0" w:line="240" w:lineRule="auto"/>
              <w:jc w:val="left"/>
            </w:pPr>
            <w:r>
              <w:rPr>
                <w:sz w:val="16"/>
              </w:rPr>
              <w:t xml:space="preserve">Model</w:t>
            </w:r>
          </w:p>
        </w:tc>
        <w:tc>
          <w:tcPr>
            <w:tcW w:type="dxa" w:w="1224"/>
          </w:tcPr>
          <w:p>
            <w:pPr>
              <w:pStyle w:val="Compact"/>
              <w:spacing w:before="0" w:after="0" w:line="240" w:lineRule="auto"/>
              <w:jc w:val="left"/>
            </w:pPr>
            <w:r>
              <w:rPr>
                <w:sz w:val="16"/>
              </w:rPr>
              <w:t xml:space="preserve">Source</w:t>
            </w:r>
          </w:p>
        </w:tc>
        <w:tc>
          <w:tcPr>
            <w:tcW w:type="dxa" w:w="1080"/>
          </w:tcPr>
          <w:p>
            <w:pPr>
              <w:pStyle w:val="Compact"/>
              <w:spacing w:before="0" w:after="0" w:line="240" w:lineRule="auto"/>
              <w:jc w:val="left"/>
            </w:pPr>
            <w:r>
              <w:rPr>
                <w:sz w:val="16"/>
              </w:rPr>
              <w:t xml:space="preserve">Outcome</w:t>
            </w:r>
          </w:p>
        </w:tc>
        <w:tc>
          <w:tcPr>
            <w:tcW w:type="dxa" w:w="1944"/>
          </w:tcPr>
          <w:p>
            <w:pPr>
              <w:pStyle w:val="Compact"/>
              <w:spacing w:before="0" w:after="0" w:line="240" w:lineRule="auto"/>
              <w:jc w:val="left"/>
            </w:pPr>
            <w:r>
              <w:rPr>
                <w:sz w:val="16"/>
              </w:rPr>
              <w:t xml:space="preserve">Future inserted</w:t>
            </w:r>
          </w:p>
        </w:tc>
        <w:tc>
          <w:tcPr>
            <w:tcW w:type="dxa" w:w="3528"/>
          </w:tcPr>
          <w:p>
            <w:pPr>
              <w:pStyle w:val="Compact"/>
              <w:spacing w:before="0" w:after="0" w:line="240" w:lineRule="auto"/>
              <w:jc w:val="left"/>
            </w:pPr>
            <w:r>
              <w:rPr>
                <w:sz w:val="16"/>
              </w:rPr>
              <w:t xml:space="preserve">Projection [95% CI]</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0.559 [0.465, 0.651]</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0.992 [0.972, 1.010]</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0.041 [0.003, 0.076]</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0.591 [0.491, 0.687]</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0.983 [0.890, 1.064]</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1.003 [0.950, 1.050]</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0.001 [</w:t>
            </w:r>
            <m:oMath>
              <m:r>
                <m:rPr>
                  <m:sty m:val="p"/>
                </m:rPr>
                <m:t>−</m:t>
              </m:r>
              <m:r>
                <m:t>0.004</m:t>
              </m:r>
            </m:oMath>
            <w:r>
              <w:rPr>
                <w:sz w:val="16"/>
              </w:rPr>
              <w:t xml:space="preserve">, 0.006]</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0.395 [0.269, 0.553]</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0.244 [0.152, 0.347]</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0.499 [0.336, 0.679]</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0.003 [</w:t>
            </w:r>
            <m:oMath>
              <m:r>
                <m:rPr>
                  <m:sty m:val="p"/>
                </m:rPr>
                <m:t>−</m:t>
              </m:r>
              <m:r>
                <m:t>0.003</m:t>
              </m:r>
            </m:oMath>
            <w:r>
              <w:rPr>
                <w:sz w:val="16"/>
              </w:rPr>
              <w:t xml:space="preserve">, 0.008]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0.442 [0.311, 0.598]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0.275 [0.185, 0.375]</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0.552 [0.387, 0.728]</w:t>
            </w:r>
          </w:p>
        </w:tc>
      </w:tr>
    </w:tbl>
    <w:bookmarkEnd w:id="25"/>
    <w:bookmarkEnd w:id="26"/>
    <w:bookmarkStart w:id="31" w:name="cosmos-policy.-1"/>
    <w:p>
      <w:pPr>
        <w:pStyle w:val="Heading4"/>
      </w:pPr>
      <w:r>
        <w:t xml:space="preserve">Cosmos Policy.</w:t>
      </w:r>
    </w:p>
    <w:p>
      <w:pPr>
        <w:pStyle w:val="FirstParagraph"/>
      </w:pPr>
      <w:r>
        <w:t xml:space="preserve">At the first query, the paired donor produces action steering of</w:t>
      </w:r>
      <w:r>
        <w:t xml:space="preserve"> </w:t>
      </w:r>
      <m:oMath>
        <m:r>
          <m:t>0.499</m:t>
        </m:r>
      </m:oMath>
      <w:r>
        <w:t xml:space="preserve"> </w:t>
      </w:r>
      <w:r>
        <w:t xml:space="preserve">and endpoint steering of</w:t>
      </w:r>
      <w:r>
        <w:t xml:space="preserve"> </w:t>
      </w:r>
      <m:oMath>
        <m:r>
          <m:t>0.552</m:t>
        </m:r>
      </m:oMath>
      <w:r>
        <w:t xml:space="preserve">, positive in all ten tasks (Table </w:t>
      </w:r>
      <w:hyperlink w:anchor="tab:directionality">
        <w:r>
          <w:rPr>
            <w:rStyle w:val="Hyperlink"/>
          </w:rPr>
          <w:t xml:space="preserve">1</w:t>
        </w:r>
      </w:hyperlink>
      <w:r>
        <w:t xml:space="preserve">). The natural control reaches</w:t>
      </w:r>
      <w:r>
        <w:t xml:space="preserve"> </w:t>
      </w:r>
      <m:oMath>
        <m:r>
          <m:t>0.395</m:t>
        </m:r>
      </m:oMath>
      <w:r>
        <w:t xml:space="preserve"> </w:t>
      </w:r>
      <w:r>
        <w:t xml:space="preserve">and</w:t>
      </w:r>
      <w:r>
        <w:t xml:space="preserve"> </w:t>
      </w:r>
      <m:oMath>
        <m:r>
          <m:t>0.442</m:t>
        </m:r>
      </m:oMath>
      <w:r>
        <w:t xml:space="preserve">, respectively, while the shuffled control reaches</w:t>
      </w:r>
      <w:r>
        <w:t xml:space="preserve"> </w:t>
      </w:r>
      <m:oMath>
        <m:r>
          <m:t>0.244</m:t>
        </m:r>
      </m:oMath>
      <w:r>
        <w:t xml:space="preserve"> </w:t>
      </w:r>
      <w:r>
        <w:t xml:space="preserve">and</w:t>
      </w:r>
      <w:r>
        <w:t xml:space="preserve"> </w:t>
      </w:r>
      <m:oMath>
        <m:r>
          <m:t>0.275</m:t>
        </m:r>
      </m:oMath>
      <w:r>
        <w:t xml:space="preserve"> </w:t>
      </w:r>
      <w:r>
        <w:t xml:space="preserve">and the matched Gaussian remains near zero. The natural future is the hardest control: the paired donor exceeds it by</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Because each time point is a different physical state, this is state dependence associated with time, not a causal estimate of temporal decay.</w:t>
      </w:r>
    </w:p>
    <w:bookmarkStart w:id="30" w:name="fig:directionality"/>
    <w:p>
      <w:pPr>
        <w:pStyle w:val="CaptionedFigure"/>
      </w:pPr>
      <w:r>
        <w:drawing>
          <wp:inline>
            <wp:extent cx="5334000" cy="1991272"/>
            <wp:effectExtent b="0" l="0" r="0" t="0"/>
            <wp:docPr descr="" title="" id="28" name="Picture"/>
            <a:graphic>
              <a:graphicData uri="http://schemas.openxmlformats.org/drawingml/2006/picture">
                <pic:pic>
                  <pic:nvPicPr>
                    <pic:cNvPr descr="figures/directionality_results.png" id="29" name="Picture"/>
                    <pic:cNvPicPr>
                      <a:picLocks noChangeArrowheads="1" noChangeAspect="1"/>
                    </pic:cNvPicPr>
                  </pic:nvPicPr>
                  <pic:blipFill>
                    <a:blip r:embed="rId27"/>
                    <a:stretch>
                      <a:fillRect/>
                    </a:stretch>
                  </pic:blipFill>
                  <pic:spPr bwMode="auto">
                    <a:xfrm>
                      <a:off x="0" y="0"/>
                      <a:ext cx="5334000" cy="1991272"/>
                    </a:xfrm>
                    <a:prstGeom prst="rect">
                      <a:avLst/>
                    </a:prstGeom>
                    <a:noFill/>
                    <a:ln w="9525">
                      <a:noFill/>
                      <a:headEnd/>
                      <a:tailEnd/>
                    </a:ln>
                  </pic:spPr>
                </pic:pic>
              </a:graphicData>
            </a:graphic>
          </wp:inline>
        </w:drawing>
      </w:r>
    </w:p>
    <w:p>
      <w:pPr>
        <w:pStyle w:val="ImageCaption"/>
      </w:pPr>
      <w:r>
        <w:t xml:space="preserve">Paired donor versus the strongest available control, separated by model. Each row is one future-source–outcome comparison. Gray circles show the strongest control; orange diamonds show the paired donor; thin lines connect the two means. Row labels report the paired donor-minus-control advantage. Whiskers show 95% state-bootstrap intervals. All five paired-advantage intervals exclude zero; Table </w:t>
      </w:r>
      <w:hyperlink w:anchor="tab:directionality">
        <w:r>
          <w:rPr>
            <w:rStyle w:val="Hyperlink"/>
          </w:rPr>
          <w:t xml:space="preserve">1</w:t>
        </w:r>
      </w:hyperlink>
      <w:r>
        <w:t xml:space="preserve"> </w:t>
      </w:r>
      <w:r>
        <w:t xml:space="preserve">reports the complete control set.</w:t>
      </w:r>
    </w:p>
    <w:bookmarkEnd w:id="30"/>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1"/>
    <w:bookmarkEnd w:id="32"/>
    <w:bookmarkStart w:id="35"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3"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mechanisms">
        <w:r>
          <w:rPr>
            <w:rStyle w:val="Hyperlink"/>
          </w:rPr>
          <w:t xml:space="preserve">3</w:t>
        </w:r>
      </w:hyperlink>
      <w:r>
        <w:t xml:space="preserve">a).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3"/>
    <w:bookmarkStart w:id="34"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mechanisms">
        <w:r>
          <w:rPr>
            <w:rStyle w:val="Hyperlink"/>
          </w:rPr>
          <w:t xml:space="preserve">2</w:t>
        </w:r>
      </w:hyperlink>
      <w:r>
        <w:t xml:space="preserve">; Figure </w:t>
      </w:r>
      <w:hyperlink w:anchor="fig:mechanisms">
        <w:r>
          <w:rPr>
            <w:rStyle w:val="Hyperlink"/>
          </w:rPr>
          <w:t xml:space="preserve">3</w:t>
        </w:r>
      </w:hyperlink>
      <w:r>
        <w:t xml:space="preserve">b).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End w:id="34"/>
    <w:bookmarkEnd w:id="35"/>
    <w:bookmarkStart w:id="43"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6"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6"/>
    <w:bookmarkStart w:id="42"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mechanisms">
        <w:r>
          <w:rPr>
            <w:rStyle w:val="Hyperlink"/>
          </w:rPr>
          <w:t xml:space="preserve">2</w:t>
        </w:r>
      </w:hyperlink>
      <w:r>
        <w:t xml:space="preserve">; Figure </w:t>
      </w:r>
      <w:hyperlink w:anchor="fig:mechanisms">
        <w:r>
          <w:rPr>
            <w:rStyle w:val="Hyperlink"/>
          </w:rPr>
          <w:t xml:space="preserve">3</w:t>
        </w:r>
      </w:hyperlink>
      <w:r>
        <w:t xml:space="preserve">c).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7" w:name="tab:mechanisms"/>
    <w:p>
      <w:pPr>
        <w:pStyle w:val="TableCaption"/>
        <w:keepNext/>
        <w:pageBreakBefore/>
      </w:pPr>
      <w:r>
        <w:t xml:space="preserve">Two complementary Cosmos 3 mechanism tests in one table. For content sufficiency (10 states), the effect is donor steering recreated by isolated pixels;</w:t>
      </w:r>
      <w:r>
        <w:t xml:space="preserve"> </w:t>
      </w:r>
      <w:r>
        <w:t xml:space="preserve">“No”</w:t>
      </w:r>
      <w:r>
        <w:t xml:space="preserve"> </w:t>
      </w:r>
      <w:r>
        <w:t xml:space="preserve">means the entire interval lies within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For pathway dependence (22 states), the effect is donor steering lost after replacing donor-future K/V with self-future K/V; percentages compare point estimates with unpatched steering. Isolated robot or object pixels are insufficient, while the complete future-token K/V interface carries most of the effect.</w:t>
      </w:r>
    </w:p>
    <w:tbl>
      <w:tblPr>
        <w:tblStyle w:val="Table"/>
        <w:tblW w:type="auto" w:w="0"/>
        <w:tblLayout w:type="fixed"/>
        <w:tblLook w:firstRow="1" w:lastRow="0" w:firstColumn="0" w:lastColumn="0" w:noHBand="0" w:noVBand="0" w:val="0020"/>
        <w:tblCaption w:val="Two complementary Cosmos 3 mechanism tests in one table. For content sufficiency (10 states), the effect is donor steering recreated by isolated pixels; “No” means the entire interval lies within the prespecified [-0.10,0.10] equivalence region. For pathway dependence (22 states), the effect is donor steering lost after replacing donor-future K/V with self-future K/V; percentages compare point estimates with unpatched steering. Isolated robot or object pixels are insufficient, while the complete future-token K/V interface carries most of the effect."/>
      </w:tblPr>
      <w:tblGrid>
        <w:gridCol w:w="1584"/>
        <w:gridCol w:w="1584"/>
        <w:gridCol w:w="1584"/>
        <w:gridCol w:w="1584"/>
        <w:gridCol w:w="1584"/>
      </w:tblGrid>
      <w:tr>
        <w:trPr>
          <w:tblHeader w:val="on"/>
          <w:cantSplit/>
        </w:trPr>
        <w:tc>
          <w:tcPr>
            <w:tcW w:type="dxa" w:w="2160"/>
          </w:tcPr>
          <w:p>
            <w:pPr>
              <w:pStyle w:val="Compact"/>
              <w:spacing w:before="0" w:after="0" w:line="240" w:lineRule="auto"/>
              <w:jc w:val="left"/>
            </w:pPr>
            <w:r>
              <w:rPr>
                <w:sz w:val="16"/>
              </w:rPr>
              <w:t xml:space="preserve">Question</w:t>
            </w:r>
          </w:p>
        </w:tc>
        <w:tc>
          <w:tcPr>
            <w:tcW w:type="dxa" w:w="2160"/>
          </w:tcPr>
          <w:p>
            <w:pPr>
              <w:pStyle w:val="Compact"/>
              <w:spacing w:before="0" w:after="0" w:line="240" w:lineRule="auto"/>
              <w:jc w:val="left"/>
            </w:pPr>
            <w:r>
              <w:rPr>
                <w:sz w:val="16"/>
              </w:rPr>
              <w:t xml:space="preserve">Intervention</w:t>
            </w:r>
          </w:p>
        </w:tc>
        <w:tc>
          <w:tcPr>
            <w:tcW w:type="dxa" w:w="1440"/>
          </w:tcPr>
          <w:p>
            <w:pPr>
              <w:pStyle w:val="Compact"/>
              <w:spacing w:before="0" w:after="0" w:line="240" w:lineRule="auto"/>
              <w:jc w:val="left"/>
            </w:pPr>
            <w:r>
              <w:rPr>
                <w:sz w:val="16"/>
              </w:rPr>
              <w:t xml:space="preserve">Outcome</w:t>
            </w:r>
          </w:p>
        </w:tc>
        <w:tc>
          <w:tcPr>
            <w:tcW w:type="dxa" w:w="2376"/>
          </w:tcPr>
          <w:p>
            <w:pPr>
              <w:pStyle w:val="Compact"/>
              <w:spacing w:before="0" w:after="0" w:line="240" w:lineRule="auto"/>
              <w:jc w:val="left"/>
            </w:pPr>
            <w:r>
              <w:rPr>
                <w:sz w:val="16"/>
              </w:rPr>
              <w:t xml:space="preserve">Effect [95% CI]</w:t>
            </w:r>
          </w:p>
        </w:tc>
        <w:tc>
          <w:tcPr>
            <w:tcW w:type="dxa" w:w="1224"/>
          </w:tcPr>
          <w:p>
            <w:pPr>
              <w:pStyle w:val="Compact"/>
              <w:spacing w:before="0" w:after="0" w:line="240" w:lineRule="auto"/>
              <w:jc w:val="left"/>
            </w:pPr>
            <w:r>
              <w:rPr>
                <w:sz w:val="16"/>
              </w:rPr>
              <w:t xml:space="preserve">Answer</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Robot pixels</w:t>
            </w:r>
          </w:p>
        </w:tc>
        <w:tc>
          <w:tcPr>
            <w:tcW w:type="dxa" w:w="1440"/>
          </w:tcPr>
          <w:p>
            <w:pPr>
              <w:pStyle w:val="Compact"/>
              <w:spacing w:before="0" w:after="0" w:line="240" w:lineRule="auto"/>
              <w:jc w:val="left"/>
            </w:pPr>
            <w:r>
              <w:rPr>
                <w:sz w:val="16"/>
              </w:rPr>
              <w:t xml:space="preserve">Action</w:t>
            </w:r>
          </w:p>
        </w:tc>
        <w:tc>
          <w:tcPr>
            <w:tcW w:type="dxa" w:w="2376"/>
          </w:tcPr>
          <w:p>
            <w:pPr>
              <w:pStyle w:val="Compact"/>
              <w:spacing w:before="0" w:after="0" w:line="240" w:lineRule="auto"/>
              <w:jc w:val="left"/>
            </w:pPr>
            <w:r>
              <w:rPr>
                <w:sz w:val="16"/>
              </w:rPr>
              <w:t xml:space="preserve">0.0022 [</w:t>
            </w:r>
            <m:oMath>
              <m:r>
                <m:rPr>
                  <m:sty m:val="p"/>
                </m:rPr>
                <m:t>−</m:t>
              </m:r>
              <m:r>
                <m:t>0.0016</m:t>
              </m:r>
            </m:oMath>
            <w:r>
              <w:rPr>
                <w:sz w:val="16"/>
              </w:rPr>
              <w:t xml:space="preserve">, 0.0060]</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Robot pixels</w:t>
            </w:r>
          </w:p>
        </w:tc>
        <w:tc>
          <w:tcPr>
            <w:tcW w:type="dxa" w:w="1440"/>
          </w:tcPr>
          <w:p>
            <w:pPr>
              <w:pStyle w:val="Compact"/>
              <w:spacing w:before="0" w:after="0" w:line="240" w:lineRule="auto"/>
              <w:jc w:val="left"/>
            </w:pPr>
            <w:r>
              <w:rPr>
                <w:sz w:val="16"/>
              </w:rPr>
              <w:t xml:space="preserve">Endpoint</w:t>
            </w:r>
          </w:p>
        </w:tc>
        <w:tc>
          <w:tcPr>
            <w:tcW w:type="dxa" w:w="2376"/>
          </w:tcPr>
          <w:p>
            <w:pPr>
              <w:pStyle w:val="Compact"/>
              <w:spacing w:before="0" w:after="0" w:line="240" w:lineRule="auto"/>
              <w:jc w:val="left"/>
            </w:pPr>
            <w:r>
              <w:rPr>
                <w:sz w:val="16"/>
              </w:rPr>
              <w:t xml:space="preserve">0.0102 [</w:t>
            </w:r>
            <m:oMath>
              <m:r>
                <m:rPr>
                  <m:sty m:val="p"/>
                </m:rPr>
                <m:t>−</m:t>
              </m:r>
              <m:r>
                <m:t>0.0067</m:t>
              </m:r>
            </m:oMath>
            <w:r>
              <w:rPr>
                <w:sz w:val="16"/>
              </w:rPr>
              <w:t xml:space="preserve">, 0.0275]</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Object pixels</w:t>
            </w:r>
          </w:p>
        </w:tc>
        <w:tc>
          <w:tcPr>
            <w:tcW w:type="dxa" w:w="1440"/>
          </w:tcPr>
          <w:p>
            <w:pPr>
              <w:pStyle w:val="Compact"/>
              <w:spacing w:before="0" w:after="0" w:line="240" w:lineRule="auto"/>
              <w:jc w:val="left"/>
            </w:pPr>
            <w:r>
              <w:rPr>
                <w:sz w:val="16"/>
              </w:rPr>
              <w:t xml:space="preserve">Action</w:t>
            </w:r>
          </w:p>
        </w:tc>
        <w:tc>
          <w:tcPr>
            <w:tcW w:type="dxa" w:w="2376"/>
          </w:tcPr>
          <w:p>
            <w:pPr>
              <w:pStyle w:val="Compact"/>
              <w:spacing w:before="0" w:after="0" w:line="240" w:lineRule="auto"/>
              <w:jc w:val="left"/>
            </w:pPr>
            <w:r>
              <w:rPr>
                <w:sz w:val="16"/>
              </w:rPr>
              <w:t xml:space="preserve">0.0061 [0.0009, 0.0119]</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Object pixels</w:t>
            </w:r>
          </w:p>
        </w:tc>
        <w:tc>
          <w:tcPr>
            <w:tcW w:type="dxa" w:w="1440"/>
          </w:tcPr>
          <w:p>
            <w:pPr>
              <w:pStyle w:val="Compact"/>
              <w:spacing w:before="0" w:after="0" w:line="240" w:lineRule="auto"/>
              <w:jc w:val="left"/>
            </w:pPr>
            <w:r>
              <w:rPr>
                <w:sz w:val="16"/>
              </w:rPr>
              <w:t xml:space="preserve">Endpoint</w:t>
            </w:r>
          </w:p>
        </w:tc>
        <w:tc>
          <w:tcPr>
            <w:tcW w:type="dxa" w:w="2376"/>
          </w:tcPr>
          <w:p>
            <w:pPr>
              <w:pStyle w:val="Compact"/>
              <w:spacing w:before="0" w:after="0" w:line="240" w:lineRule="auto"/>
              <w:jc w:val="left"/>
            </w:pPr>
            <m:oMath>
              <m:r>
                <m:rPr>
                  <m:sty m:val="p"/>
                </m:rPr>
                <m:t>−</m:t>
              </m:r>
              <m:r>
                <m:t>0.0001</m:t>
              </m:r>
            </m:oMath>
            <w:r>
              <w:rPr>
                <w:sz w:val="16"/>
              </w:rPr>
              <w:t xml:space="preserve"> </w:t>
            </w:r>
            <w:r>
              <w:rPr>
                <w:sz w:val="16"/>
              </w:rPr>
              <w:t xml:space="preserve">[</w:t>
            </w:r>
            <m:oMath>
              <m:r>
                <m:rPr>
                  <m:sty m:val="p"/>
                </m:rPr>
                <m:t>−</m:t>
              </m:r>
              <m:r>
                <m:t>0.0254</m:t>
              </m:r>
            </m:oMath>
            <w:r>
              <w:rPr>
                <w:sz w:val="16"/>
              </w:rPr>
              <w:t xml:space="preserve">, 0.0239]</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Future K/V carries effect?</w:t>
            </w:r>
          </w:p>
        </w:tc>
        <w:tc>
          <w:tcPr>
            <w:tcW w:type="dxa" w:w="2160"/>
          </w:tcPr>
          <w:p>
            <w:pPr>
              <w:pStyle w:val="Compact"/>
              <w:spacing w:before="0" w:after="0" w:line="240" w:lineRule="auto"/>
              <w:jc w:val="left"/>
            </w:pPr>
            <w:r>
              <w:rPr>
                <w:sz w:val="16"/>
              </w:rPr>
              <w:t xml:space="preserve">Self K/V replacement</w:t>
            </w:r>
          </w:p>
        </w:tc>
        <w:tc>
          <w:tcPr>
            <w:tcW w:type="dxa" w:w="1440"/>
          </w:tcPr>
          <w:p>
            <w:pPr>
              <w:pStyle w:val="Compact"/>
              <w:spacing w:before="0" w:after="0" w:line="240" w:lineRule="auto"/>
              <w:jc w:val="left"/>
            </w:pPr>
            <w:r>
              <w:rPr>
                <w:sz w:val="16"/>
              </w:rPr>
              <w:t xml:space="preserve">Predicted action</w:t>
            </w:r>
          </w:p>
        </w:tc>
        <w:tc>
          <w:tcPr>
            <w:tcW w:type="dxa" w:w="2376"/>
          </w:tcPr>
          <w:p>
            <w:pPr>
              <w:pStyle w:val="Compact"/>
              <w:spacing w:before="0" w:after="0" w:line="240" w:lineRule="auto"/>
              <w:jc w:val="left"/>
            </w:pPr>
            <w:r>
              <w:rPr>
                <w:sz w:val="16"/>
              </w:rPr>
              <w:t xml:space="preserve">0.877 [0.842, 0.910]</w:t>
            </w:r>
          </w:p>
        </w:tc>
        <w:tc>
          <w:tcPr>
            <w:tcW w:type="dxa" w:w="1224"/>
          </w:tcPr>
          <w:p>
            <w:pPr>
              <w:pStyle w:val="Compact"/>
              <w:spacing w:before="0" w:after="0" w:line="240" w:lineRule="auto"/>
              <w:jc w:val="left"/>
            </w:pPr>
            <w:r>
              <w:rPr>
                <w:b/>
                <w:bCs/>
                <w:sz w:val="16"/>
              </w:rPr>
              <w:t xml:space="preserve">Yes (88%)</w:t>
            </w:r>
          </w:p>
        </w:tc>
      </w:tr>
      <w:tr>
        <w:trPr>
          <w:cantSplit/>
        </w:trPr>
        <w:tc>
          <w:tcPr>
            <w:tcW w:type="dxa" w:w="2160"/>
          </w:tcPr>
          <w:p>
            <w:pPr>
              <w:pStyle w:val="Compact"/>
              <w:spacing w:before="0" w:after="0" w:line="240" w:lineRule="auto"/>
              <w:jc w:val="left"/>
            </w:pPr>
            <w:r>
              <w:rPr>
                <w:sz w:val="16"/>
              </w:rPr>
              <w:t xml:space="preserve">Future K/V carries effect?</w:t>
            </w:r>
          </w:p>
        </w:tc>
        <w:tc>
          <w:tcPr>
            <w:tcW w:type="dxa" w:w="2160"/>
          </w:tcPr>
          <w:p>
            <w:pPr>
              <w:pStyle w:val="Compact"/>
              <w:spacing w:before="0" w:after="0" w:line="240" w:lineRule="auto"/>
              <w:jc w:val="left"/>
            </w:pPr>
            <w:r>
              <w:rPr>
                <w:sz w:val="16"/>
              </w:rPr>
              <w:t xml:space="preserve">Self K/V replacement</w:t>
            </w:r>
          </w:p>
        </w:tc>
        <w:tc>
          <w:tcPr>
            <w:tcW w:type="dxa" w:w="1440"/>
          </w:tcPr>
          <w:p>
            <w:pPr>
              <w:pStyle w:val="Compact"/>
              <w:spacing w:before="0" w:after="0" w:line="240" w:lineRule="auto"/>
              <w:jc w:val="left"/>
            </w:pPr>
            <w:r>
              <w:rPr>
                <w:sz w:val="16"/>
              </w:rPr>
              <w:t xml:space="preserve">Executed action</w:t>
            </w:r>
          </w:p>
        </w:tc>
        <w:tc>
          <w:tcPr>
            <w:tcW w:type="dxa" w:w="2376"/>
          </w:tcPr>
          <w:p>
            <w:pPr>
              <w:pStyle w:val="Compact"/>
              <w:spacing w:before="0" w:after="0" w:line="240" w:lineRule="auto"/>
              <w:jc w:val="left"/>
            </w:pPr>
            <w:r>
              <w:rPr>
                <w:sz w:val="16"/>
              </w:rPr>
              <w:t xml:space="preserve">0.814 [0.723, 0.900]</w:t>
            </w:r>
          </w:p>
        </w:tc>
        <w:tc>
          <w:tcPr>
            <w:tcW w:type="dxa" w:w="1224"/>
          </w:tcPr>
          <w:p>
            <w:pPr>
              <w:pStyle w:val="Compact"/>
              <w:spacing w:before="0" w:after="0" w:line="240" w:lineRule="auto"/>
              <w:jc w:val="left"/>
            </w:pPr>
            <w:r>
              <w:rPr>
                <w:b/>
                <w:bCs/>
                <w:sz w:val="16"/>
              </w:rPr>
              <w:t xml:space="preserve">Yes (83%)</w:t>
            </w:r>
          </w:p>
        </w:tc>
      </w:tr>
      <w:tr>
        <w:trPr>
          <w:cantSplit/>
        </w:trPr>
        <w:tc>
          <w:tcPr>
            <w:tcW w:type="dxa" w:w="2160"/>
          </w:tcPr>
          <w:p>
            <w:pPr>
              <w:pStyle w:val="Compact"/>
              <w:spacing w:before="0" w:after="0" w:line="240" w:lineRule="auto"/>
              <w:jc w:val="left"/>
            </w:pPr>
            <w:r>
              <w:rPr>
                <w:sz w:val="16"/>
              </w:rPr>
              <w:t xml:space="preserve">Future K/V carries effect?</w:t>
            </w:r>
          </w:p>
        </w:tc>
        <w:tc>
          <w:tcPr>
            <w:tcW w:type="dxa" w:w="2160"/>
          </w:tcPr>
          <w:p>
            <w:pPr>
              <w:pStyle w:val="Compact"/>
              <w:spacing w:before="0" w:after="0" w:line="240" w:lineRule="auto"/>
              <w:jc w:val="left"/>
            </w:pPr>
            <w:r>
              <w:rPr>
                <w:sz w:val="16"/>
              </w:rPr>
              <w:t xml:space="preserve">Self K/V replacement</w:t>
            </w:r>
          </w:p>
        </w:tc>
        <w:tc>
          <w:tcPr>
            <w:tcW w:type="dxa" w:w="1440"/>
          </w:tcPr>
          <w:p>
            <w:pPr>
              <w:pStyle w:val="Compact"/>
              <w:spacing w:before="0" w:after="0" w:line="240" w:lineRule="auto"/>
              <w:jc w:val="left"/>
            </w:pPr>
            <w:r>
              <w:rPr>
                <w:sz w:val="16"/>
              </w:rPr>
              <w:t xml:space="preserve">Executed endpoint</w:t>
            </w:r>
          </w:p>
        </w:tc>
        <w:tc>
          <w:tcPr>
            <w:tcW w:type="dxa" w:w="2376"/>
          </w:tcPr>
          <w:p>
            <w:pPr>
              <w:pStyle w:val="Compact"/>
              <w:spacing w:before="0" w:after="0" w:line="240" w:lineRule="auto"/>
              <w:jc w:val="left"/>
            </w:pPr>
            <w:r>
              <w:rPr>
                <w:sz w:val="16"/>
              </w:rPr>
              <w:t xml:space="preserve">0.851 [0.766, 0.922]</w:t>
            </w:r>
          </w:p>
        </w:tc>
        <w:tc>
          <w:tcPr>
            <w:tcW w:type="dxa" w:w="1224"/>
          </w:tcPr>
          <w:p>
            <w:pPr>
              <w:pStyle w:val="Compact"/>
              <w:spacing w:before="0" w:after="0" w:line="240" w:lineRule="auto"/>
              <w:jc w:val="left"/>
            </w:pPr>
            <w:r>
              <w:rPr>
                <w:b/>
                <w:bCs/>
                <w:sz w:val="16"/>
              </w:rPr>
              <w:t xml:space="preserve">Yes (85%)</w:t>
            </w:r>
          </w:p>
        </w:tc>
      </w:tr>
    </w:tbl>
    <w:bookmarkEnd w:id="37"/>
    <w:bookmarkStart w:id="41" w:name="fig:mechanisms"/>
    <w:p>
      <w:pPr>
        <w:pStyle w:val="CaptionedFigure"/>
      </w:pPr>
      <w:r>
        <w:drawing>
          <wp:inline>
            <wp:extent cx="5334000" cy="1924272"/>
            <wp:effectExtent b="0" l="0" r="0" t="0"/>
            <wp:docPr descr="" title="" id="39" name="Picture"/>
            <a:graphic>
              <a:graphicData uri="http://schemas.openxmlformats.org/drawingml/2006/picture">
                <pic:pic>
                  <pic:nvPicPr>
                    <pic:cNvPr descr="figures/pathway_results.png" id="40" name="Picture"/>
                    <pic:cNvPicPr>
                      <a:picLocks noChangeArrowheads="1" noChangeAspect="1"/>
                    </pic:cNvPicPr>
                  </pic:nvPicPr>
                  <pic:blipFill>
                    <a:blip r:embed="rId38"/>
                    <a:stretch>
                      <a:fillRect/>
                    </a:stretch>
                  </pic:blipFill>
                  <pic:spPr bwMode="auto">
                    <a:xfrm>
                      <a:off x="0" y="0"/>
                      <a:ext cx="5334000" cy="1924272"/>
                    </a:xfrm>
                    <a:prstGeom prst="rect">
                      <a:avLst/>
                    </a:prstGeom>
                    <a:noFill/>
                    <a:ln w="9525">
                      <a:noFill/>
                      <a:headEnd/>
                      <a:tailEnd/>
                    </a:ln>
                  </pic:spPr>
                </pic:pic>
              </a:graphicData>
            </a:graphic>
          </wp:inline>
        </w:drawing>
      </w:r>
    </w:p>
    <w:p>
      <w:pPr>
        <w:pStyle w:val="ImageCaption"/>
      </w:pPr>
      <w:r>
        <w:t xml:space="preserve">What carries the effect? Orange denotes donor-future steering, gray denotes isolated pixel-factor effects, and blue denotes the fraction removed by restoring self-future K/V. (a) In Cosmos Policy, the wrist-video future reproduces most of the whole-future action effect; future proprioception reproduces none. (b) In Cosmos 3, neither robot-only nor object-only pixels reproduce the whole-future effect; the shaded band is the prespecified equivalence region. (c) Replacing the donor-future K/V pathway with self-future K/V removes 83–88% of donor steering.</w:t>
      </w:r>
    </w:p>
    <w:bookmarkEnd w:id="41"/>
    <w:bookmarkEnd w:id="42"/>
    <w:bookmarkEnd w:id="43"/>
    <w:bookmarkEnd w:id="44"/>
    <w:bookmarkStart w:id="47"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5"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5"/>
    <w:bookmarkStart w:id="46"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6"/>
    <w:bookmarkEnd w:id="47"/>
    <w:bookmarkStart w:id="48"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48"/>
    <w:bookmarkStart w:id="49"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49"/>
    <w:bookmarkStart w:id="99"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Start w:id="98" w:name="refs"/>
    <w:bookmarkStart w:id="51"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0">
        <w:r>
          <w:rPr>
            <w:rStyle w:val="Hyperlink"/>
          </w:rPr>
          <w:t xml:space="preserve">https://proceedings.neurips.cc/paper_files/paper/2023/hash/1d5b9233ad716a43be5c0d3023cb82d0-Abstract.html</w:t>
        </w:r>
      </w:hyperlink>
      <w:r>
        <w:t xml:space="preserve">.</w:t>
      </w:r>
    </w:p>
    <w:bookmarkEnd w:id="51"/>
    <w:bookmarkStart w:id="53"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2">
        <w:r>
          <w:rPr>
            <w:rStyle w:val="Hyperlink"/>
          </w:rPr>
          <w:t xml:space="preserve">https://openreview.net/forum?id=9pKtcJcMP3</w:t>
        </w:r>
      </w:hyperlink>
      <w:r>
        <w:t xml:space="preserve">.</w:t>
      </w:r>
    </w:p>
    <w:bookmarkEnd w:id="53"/>
    <w:bookmarkStart w:id="55"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4">
        <w:r>
          <w:rPr>
            <w:rStyle w:val="Hyperlink"/>
          </w:rPr>
          <w:t xml:space="preserve">https://arxiv.org/abs/1812.00568</w:t>
        </w:r>
      </w:hyperlink>
      <w:r>
        <w:t xml:space="preserve">.</w:t>
      </w:r>
    </w:p>
    <w:bookmarkEnd w:id="55"/>
    <w:bookmarkStart w:id="57"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56">
        <w:r>
          <w:rPr>
            <w:rStyle w:val="Hyperlink"/>
          </w:rPr>
          <w:t xml:space="preserve">https://doi.org/10.1111/j.1467-9868.2007.00593.x</w:t>
        </w:r>
      </w:hyperlink>
      <w:r>
        <w:t xml:space="preserve">.</w:t>
      </w:r>
    </w:p>
    <w:bookmarkEnd w:id="57"/>
    <w:bookmarkStart w:id="59"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58">
        <w:r>
          <w:rPr>
            <w:rStyle w:val="Hyperlink"/>
          </w:rPr>
          <w:t xml:space="preserve">https://doi.org/10.48550/arXiv.2304.05969</w:t>
        </w:r>
      </w:hyperlink>
      <w:r>
        <w:t xml:space="preserve">.</w:t>
      </w:r>
    </w:p>
    <w:bookmarkEnd w:id="59"/>
    <w:bookmarkStart w:id="61"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0">
        <w:r>
          <w:rPr>
            <w:rStyle w:val="Hyperlink"/>
          </w:rPr>
          <w:t xml:space="preserve">https://doi.org/10.52202/079017-3570</w:t>
        </w:r>
      </w:hyperlink>
      <w:r>
        <w:t xml:space="preserve">.</w:t>
      </w:r>
    </w:p>
    <w:bookmarkEnd w:id="61"/>
    <w:bookmarkStart w:id="63"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2">
        <w:r>
          <w:rPr>
            <w:rStyle w:val="Hyperlink"/>
          </w:rPr>
          <w:t xml:space="preserve">https://proceedings.mlr.press/v267/hu25g.html</w:t>
        </w:r>
      </w:hyperlink>
      <w:r>
        <w:t xml:space="preserve">.</w:t>
      </w:r>
    </w:p>
    <w:bookmarkEnd w:id="63"/>
    <w:bookmarkStart w:id="65"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4">
        <w:r>
          <w:rPr>
            <w:rStyle w:val="Hyperlink"/>
          </w:rPr>
          <w:t xml:space="preserve">https://openreview.net/forum?id=wPEIStHxYH</w:t>
        </w:r>
      </w:hyperlink>
      <w:r>
        <w:t xml:space="preserve">.</w:t>
      </w:r>
    </w:p>
    <w:bookmarkEnd w:id="65"/>
    <w:bookmarkStart w:id="67"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66">
        <w:r>
          <w:rPr>
            <w:rStyle w:val="Hyperlink"/>
          </w:rPr>
          <w:t xml:space="preserve">https://doi.org/10.1177/1948550617697177</w:t>
        </w:r>
      </w:hyperlink>
      <w:r>
        <w:t xml:space="preserve">.</w:t>
      </w:r>
    </w:p>
    <w:bookmarkEnd w:id="67"/>
    <w:bookmarkStart w:id="69"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68">
        <w:r>
          <w:rPr>
            <w:rStyle w:val="Hyperlink"/>
          </w:rPr>
          <w:t xml:space="preserve">https://doi.org/10.48550/arXiv.2503.00200</w:t>
        </w:r>
      </w:hyperlink>
      <w:r>
        <w:t xml:space="preserve">.</w:t>
      </w:r>
    </w:p>
    <w:bookmarkEnd w:id="69"/>
    <w:bookmarkStart w:id="71"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0">
        <w:r>
          <w:rPr>
            <w:rStyle w:val="Hyperlink"/>
          </w:rPr>
          <w:t xml:space="preserve">https://doi.org/10.52202/075280-1939</w:t>
        </w:r>
      </w:hyperlink>
      <w:r>
        <w:t xml:space="preserve">.</w:t>
      </w:r>
    </w:p>
    <w:bookmarkEnd w:id="71"/>
    <w:bookmarkStart w:id="73"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2">
        <w:r>
          <w:rPr>
            <w:rStyle w:val="Hyperlink"/>
          </w:rPr>
          <w:t xml:space="preserve">https://doi.org/10.52202/068431-1262</w:t>
        </w:r>
      </w:hyperlink>
      <w:r>
        <w:t xml:space="preserve">.</w:t>
      </w:r>
    </w:p>
    <w:bookmarkEnd w:id="73"/>
    <w:bookmarkStart w:id="75"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4">
        <w:r>
          <w:rPr>
            <w:rStyle w:val="Hyperlink"/>
          </w:rPr>
          <w:t xml:space="preserve">https://doi.org/10.15607/RSS.2024.XX.050</w:t>
        </w:r>
      </w:hyperlink>
      <w:r>
        <w:t xml:space="preserve">.</w:t>
      </w:r>
    </w:p>
    <w:bookmarkEnd w:id="75"/>
    <w:bookmarkStart w:id="77"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76">
        <w:r>
          <w:rPr>
            <w:rStyle w:val="Hyperlink"/>
          </w:rPr>
          <w:t xml:space="preserve">https://doi.org/10.48550/arXiv.2606.02800</w:t>
        </w:r>
      </w:hyperlink>
      <w:r>
        <w:t xml:space="preserve">.</w:t>
      </w:r>
    </w:p>
    <w:bookmarkEnd w:id="77"/>
    <w:bookmarkStart w:id="79"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78">
        <w:r>
          <w:rPr>
            <w:rStyle w:val="Hyperlink"/>
          </w:rPr>
          <w:t xml:space="preserve">https://huggingface.co/nvidia/Cosmos3-Nano-Policy-DROID</w:t>
        </w:r>
      </w:hyperlink>
      <w:r>
        <w:t xml:space="preserve">.</w:t>
      </w:r>
    </w:p>
    <w:bookmarkEnd w:id="79"/>
    <w:bookmarkStart w:id="81"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0">
        <w:r>
          <w:rPr>
            <w:rStyle w:val="Hyperlink"/>
          </w:rPr>
          <w:t xml:space="preserve">https://doi.org/10.48550/arXiv.2606.12217</w:t>
        </w:r>
      </w:hyperlink>
      <w:r>
        <w:t xml:space="preserve">.</w:t>
      </w:r>
    </w:p>
    <w:bookmarkEnd w:id="81"/>
    <w:bookmarkStart w:id="83"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2">
        <w:r>
          <w:rPr>
            <w:rStyle w:val="Hyperlink"/>
          </w:rPr>
          <w:t xml:space="preserve">https://doi.org/10.48550/arXiv.2606.27510</w:t>
        </w:r>
      </w:hyperlink>
      <w:r>
        <w:t xml:space="preserve">.</w:t>
      </w:r>
    </w:p>
    <w:bookmarkEnd w:id="83"/>
    <w:bookmarkStart w:id="85"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4">
        <w:r>
          <w:rPr>
            <w:rStyle w:val="Hyperlink"/>
          </w:rPr>
          <w:t xml:space="preserve">https://proceedings.neurips.cc/paper/2020/hash/92650b2e92217715fe312e6fa7b90d82-Abstract.html</w:t>
        </w:r>
      </w:hyperlink>
      <w:r>
        <w:t xml:space="preserve">.</w:t>
      </w:r>
    </w:p>
    <w:bookmarkEnd w:id="85"/>
    <w:bookmarkStart w:id="87"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86">
        <w:r>
          <w:rPr>
            <w:rStyle w:val="Hyperlink"/>
          </w:rPr>
          <w:t xml:space="preserve">https://doi.org/10.15607/RSS.2026.XXII.096</w:t>
        </w:r>
      </w:hyperlink>
      <w:r>
        <w:t xml:space="preserve">.</w:t>
      </w:r>
    </w:p>
    <w:bookmarkEnd w:id="87"/>
    <w:bookmarkStart w:id="89"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88">
        <w:r>
          <w:rPr>
            <w:rStyle w:val="Hyperlink"/>
          </w:rPr>
          <w:t xml:space="preserve">https://doi.org/10.48550/arXiv.2602.15922</w:t>
        </w:r>
      </w:hyperlink>
      <w:r>
        <w:t xml:space="preserve">.</w:t>
      </w:r>
    </w:p>
    <w:bookmarkEnd w:id="89"/>
    <w:bookmarkStart w:id="91"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0">
        <w:r>
          <w:rPr>
            <w:rStyle w:val="Hyperlink"/>
          </w:rPr>
          <w:t xml:space="preserve">https://doi.org/10.48550/arXiv.2603.16666</w:t>
        </w:r>
      </w:hyperlink>
      <w:r>
        <w:t xml:space="preserve">.</w:t>
      </w:r>
    </w:p>
    <w:bookmarkEnd w:id="91"/>
    <w:bookmarkStart w:id="93"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2">
        <w:r>
          <w:rPr>
            <w:rStyle w:val="Hyperlink"/>
          </w:rPr>
          <w:t xml:space="preserve">https://doi.org/10.48550/arXiv.2608.11521</w:t>
        </w:r>
      </w:hyperlink>
      <w:r>
        <w:t xml:space="preserve">.</w:t>
      </w:r>
    </w:p>
    <w:bookmarkEnd w:id="93"/>
    <w:bookmarkStart w:id="95"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4">
        <w:r>
          <w:rPr>
            <w:rStyle w:val="Hyperlink"/>
          </w:rPr>
          <w:t xml:space="preserve">https://openreview.net/forum?id=Hf17y6u9BC</w:t>
        </w:r>
      </w:hyperlink>
      <w:r>
        <w:t xml:space="preserve">.</w:t>
      </w:r>
    </w:p>
    <w:bookmarkEnd w:id="95"/>
    <w:bookmarkStart w:id="97"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96">
        <w:r>
          <w:rPr>
            <w:rStyle w:val="Hyperlink"/>
          </w:rPr>
          <w:t xml:space="preserve">https://doi.org/10.48550/arXiv.2608.04404</w:t>
        </w:r>
      </w:hyperlink>
      <w:r>
        <w:t xml:space="preserve">.</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9" Type="http://schemas.openxmlformats.org/officeDocument/2006/relationships/image" Target="media/rId9.png"/><Relationship Id="rId38" Type="http://schemas.openxmlformats.org/officeDocument/2006/relationships/image" Target="media/rId38.png"/><Relationship Id="rId54" Type="http://schemas.openxmlformats.org/officeDocument/2006/relationships/hyperlink" Target="https://arxiv.org/abs/1812.00568" TargetMode="External"/><Relationship Id="rId56" Type="http://schemas.openxmlformats.org/officeDocument/2006/relationships/hyperlink" Target="https://doi.org/10.1111/j.1467-9868.2007.00593.x" TargetMode="External"/><Relationship Id="rId66" Type="http://schemas.openxmlformats.org/officeDocument/2006/relationships/hyperlink" Target="https://doi.org/10.1177/1948550617697177" TargetMode="External"/><Relationship Id="rId74" Type="http://schemas.openxmlformats.org/officeDocument/2006/relationships/hyperlink" Target="https://doi.org/10.15607/RSS.2024.XX.050" TargetMode="External"/><Relationship Id="rId86" Type="http://schemas.openxmlformats.org/officeDocument/2006/relationships/hyperlink" Target="https://doi.org/10.15607/RSS.2026.XXII.096" TargetMode="External"/><Relationship Id="rId58" Type="http://schemas.openxmlformats.org/officeDocument/2006/relationships/hyperlink" Target="https://doi.org/10.48550/arXiv.2304.05969" TargetMode="External"/><Relationship Id="rId68" Type="http://schemas.openxmlformats.org/officeDocument/2006/relationships/hyperlink" Target="https://doi.org/10.48550/arXiv.2503.00200" TargetMode="External"/><Relationship Id="rId88" Type="http://schemas.openxmlformats.org/officeDocument/2006/relationships/hyperlink" Target="https://doi.org/10.48550/arXiv.2602.15922" TargetMode="External"/><Relationship Id="rId90" Type="http://schemas.openxmlformats.org/officeDocument/2006/relationships/hyperlink" Target="https://doi.org/10.48550/arXiv.2603.16666" TargetMode="External"/><Relationship Id="rId76" Type="http://schemas.openxmlformats.org/officeDocument/2006/relationships/hyperlink" Target="https://doi.org/10.48550/arXiv.2606.02800" TargetMode="External"/><Relationship Id="rId80" Type="http://schemas.openxmlformats.org/officeDocument/2006/relationships/hyperlink" Target="https://doi.org/10.48550/arXiv.2606.12217" TargetMode="External"/><Relationship Id="rId82" Type="http://schemas.openxmlformats.org/officeDocument/2006/relationships/hyperlink" Target="https://doi.org/10.48550/arXiv.2606.27510" TargetMode="External"/><Relationship Id="rId96" Type="http://schemas.openxmlformats.org/officeDocument/2006/relationships/hyperlink" Target="https://doi.org/10.48550/arXiv.2608.04404" TargetMode="External"/><Relationship Id="rId92" Type="http://schemas.openxmlformats.org/officeDocument/2006/relationships/hyperlink" Target="https://doi.org/10.48550/arXiv.2608.11521" TargetMode="External"/><Relationship Id="rId72" Type="http://schemas.openxmlformats.org/officeDocument/2006/relationships/hyperlink" Target="https://doi.org/10.52202/068431-1262" TargetMode="External"/><Relationship Id="rId70" Type="http://schemas.openxmlformats.org/officeDocument/2006/relationships/hyperlink" Target="https://doi.org/10.52202/075280-1939" TargetMode="External"/><Relationship Id="rId60" Type="http://schemas.openxmlformats.org/officeDocument/2006/relationships/hyperlink" Target="https://doi.org/10.52202/079017-3570" TargetMode="External"/><Relationship Id="rId78" Type="http://schemas.openxmlformats.org/officeDocument/2006/relationships/hyperlink" Target="https://huggingface.co/nvidia/Cosmos3-Nano-Policy-DROID" TargetMode="External"/><Relationship Id="rId52" Type="http://schemas.openxmlformats.org/officeDocument/2006/relationships/hyperlink" Target="https://openreview.net/forum?id=9pKtcJcMP3" TargetMode="External"/><Relationship Id="rId94" Type="http://schemas.openxmlformats.org/officeDocument/2006/relationships/hyperlink" Target="https://openreview.net/forum?id=Hf17y6u9BC" TargetMode="External"/><Relationship Id="rId64" Type="http://schemas.openxmlformats.org/officeDocument/2006/relationships/hyperlink" Target="https://openreview.net/forum?id=wPEIStHxYH" TargetMode="External"/><Relationship Id="rId62" Type="http://schemas.openxmlformats.org/officeDocument/2006/relationships/hyperlink" Target="https://proceedings.mlr.press/v267/hu25g.html" TargetMode="External"/><Relationship Id="rId84" Type="http://schemas.openxmlformats.org/officeDocument/2006/relationships/hyperlink" Target="https://proceedings.neurips.cc/paper/2020/hash/92650b2e92217715fe312e6fa7b90d82-Abstract.html" TargetMode="External"/><Relationship Id="rId50" Type="http://schemas.openxmlformats.org/officeDocument/2006/relationships/hyperlink" Target="https://proceedings.neurips.cc/paper_files/paper/2023/hash/1d5b9233ad716a43be5c0d3023cb82d0-Abstract.html"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arxiv.org/abs/1812.00568" TargetMode="External"/><Relationship Id="rId56" Type="http://schemas.openxmlformats.org/officeDocument/2006/relationships/hyperlink" Target="https://doi.org/10.1111/j.1467-9868.2007.00593.x" TargetMode="External"/><Relationship Id="rId66" Type="http://schemas.openxmlformats.org/officeDocument/2006/relationships/hyperlink" Target="https://doi.org/10.1177/1948550617697177" TargetMode="External"/><Relationship Id="rId74" Type="http://schemas.openxmlformats.org/officeDocument/2006/relationships/hyperlink" Target="https://doi.org/10.15607/RSS.2024.XX.050" TargetMode="External"/><Relationship Id="rId86" Type="http://schemas.openxmlformats.org/officeDocument/2006/relationships/hyperlink" Target="https://doi.org/10.15607/RSS.2026.XXII.096" TargetMode="External"/><Relationship Id="rId58" Type="http://schemas.openxmlformats.org/officeDocument/2006/relationships/hyperlink" Target="https://doi.org/10.48550/arXiv.2304.05969" TargetMode="External"/><Relationship Id="rId68" Type="http://schemas.openxmlformats.org/officeDocument/2006/relationships/hyperlink" Target="https://doi.org/10.48550/arXiv.2503.00200" TargetMode="External"/><Relationship Id="rId88" Type="http://schemas.openxmlformats.org/officeDocument/2006/relationships/hyperlink" Target="https://doi.org/10.48550/arXiv.2602.15922" TargetMode="External"/><Relationship Id="rId90" Type="http://schemas.openxmlformats.org/officeDocument/2006/relationships/hyperlink" Target="https://doi.org/10.48550/arXiv.2603.16666" TargetMode="External"/><Relationship Id="rId76" Type="http://schemas.openxmlformats.org/officeDocument/2006/relationships/hyperlink" Target="https://doi.org/10.48550/arXiv.2606.02800" TargetMode="External"/><Relationship Id="rId80" Type="http://schemas.openxmlformats.org/officeDocument/2006/relationships/hyperlink" Target="https://doi.org/10.48550/arXiv.2606.12217" TargetMode="External"/><Relationship Id="rId82" Type="http://schemas.openxmlformats.org/officeDocument/2006/relationships/hyperlink" Target="https://doi.org/10.48550/arXiv.2606.27510" TargetMode="External"/><Relationship Id="rId96" Type="http://schemas.openxmlformats.org/officeDocument/2006/relationships/hyperlink" Target="https://doi.org/10.48550/arXiv.2608.04404" TargetMode="External"/><Relationship Id="rId92" Type="http://schemas.openxmlformats.org/officeDocument/2006/relationships/hyperlink" Target="https://doi.org/10.48550/arXiv.2608.11521" TargetMode="External"/><Relationship Id="rId72" Type="http://schemas.openxmlformats.org/officeDocument/2006/relationships/hyperlink" Target="https://doi.org/10.52202/068431-1262" TargetMode="External"/><Relationship Id="rId70" Type="http://schemas.openxmlformats.org/officeDocument/2006/relationships/hyperlink" Target="https://doi.org/10.52202/075280-1939" TargetMode="External"/><Relationship Id="rId60" Type="http://schemas.openxmlformats.org/officeDocument/2006/relationships/hyperlink" Target="https://doi.org/10.52202/079017-3570" TargetMode="External"/><Relationship Id="rId78" Type="http://schemas.openxmlformats.org/officeDocument/2006/relationships/hyperlink" Target="https://huggingface.co/nvidia/Cosmos3-Nano-Policy-DROID" TargetMode="External"/><Relationship Id="rId52" Type="http://schemas.openxmlformats.org/officeDocument/2006/relationships/hyperlink" Target="https://openreview.net/forum?id=9pKtcJcMP3" TargetMode="External"/><Relationship Id="rId94" Type="http://schemas.openxmlformats.org/officeDocument/2006/relationships/hyperlink" Target="https://openreview.net/forum?id=Hf17y6u9BC" TargetMode="External"/><Relationship Id="rId64" Type="http://schemas.openxmlformats.org/officeDocument/2006/relationships/hyperlink" Target="https://openreview.net/forum?id=wPEIStHxYH" TargetMode="External"/><Relationship Id="rId62" Type="http://schemas.openxmlformats.org/officeDocument/2006/relationships/hyperlink" Target="https://proceedings.mlr.press/v267/hu25g.html" TargetMode="External"/><Relationship Id="rId84" Type="http://schemas.openxmlformats.org/officeDocument/2006/relationships/hyperlink" Target="https://proceedings.neurips.cc/paper/2020/hash/92650b2e92217715fe312e6fa7b90d82-Abstract.html" TargetMode="External"/><Relationship Id="rId50" Type="http://schemas.openxmlformats.org/officeDocument/2006/relationships/hyperlink" Target="https://proceedings.neurips.cc/paper_files/paper/2023/hash/1d5b9233ad716a43be5c0d3023cb82d0-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2026-09-02T11:00:28Z</dcterms:created>
  <dcterms:modified xsi:type="dcterms:W3CDTF">2026-09-02T11:00:28Z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