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Joint generation, however, does not imply that the action computation uses the generated future. The policy could map the current observation and instruction directly to an action while producing a plausible future as an auxiliary output.</w:t>
      </w:r>
    </w:p>
    <w:p>
      <w:pPr>
        <w:pStyle w:val="BodyText"/>
      </w:pPr>
      <w:r>
        <w:t xml:space="preserve">We distinguish four mechanistically different—and potentially coexisting—roles for future representations. First, they may be</w:t>
      </w:r>
      <w:r>
        <w:t xml:space="preserve"> </w:t>
      </w:r>
      <w:r>
        <w:rPr>
          <w:i/>
          <w:iCs/>
        </w:rPr>
        <w:t xml:space="preserve">epiphenomenal</w:t>
      </w:r>
      <w:r>
        <w:t xml:space="preserve">: changing them has no causal effect on action. Second, they may provide a</w:t>
      </w:r>
      <w:r>
        <w:t xml:space="preserve"> </w:t>
      </w:r>
      <w:r>
        <w:rPr>
          <w:i/>
          <w:iCs/>
        </w:rPr>
        <w:t xml:space="preserve">nonspecific computational workspace</w:t>
      </w:r>
      <w:r>
        <w:t xml:space="preserve">: activity at future-token positions is necessary, but the represented future does not determine the direction of the action change. Third, their semantic content may</w:t>
      </w:r>
      <w:r>
        <w:t xml:space="preserve"> </w:t>
      </w:r>
      <w:r>
        <w:rPr>
          <w:i/>
          <w:iCs/>
        </w:rPr>
        <w:t xml:space="preserve">parameterize action</w:t>
      </w:r>
      <w:r>
        <w:t xml:space="preserve">, for example through an inverse-dynamics-like mapping from a prospective robot pose to the action that would realize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Fourth, they may encode consequences that are evaluated to select among candidate actions</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Only the fourth role entails outcome-based planning; the third establishes content-specific future use but does not, by itself, show that the model compares predicted outcomes.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334000" cy="222250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_factors">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_factors"/>
    <w:p>
      <w:pPr>
        <w:pStyle w:val="TableCaption"/>
        <w:keepNext/>
        <w:pageBreakBefore/>
      </w:pPr>
      <w:r>
        <w:t xml:space="preserve">Cosmos 3 isolated-content interventions across 10 states from six tasks. Entries are mean donor-directed projections with 95% state-bootstrap intervals; 0 denotes the recipient and 1 the paired donor. Robot and object masks are disjoint. The prespecified practical-equivalence region is</w:t>
      </w:r>
      <w:r>
        <w:t xml:space="preserve"> </w:t>
      </w:r>
      <m:oMath>
        <m:r>
          <m:rPr>
            <m:sty m:val="p"/>
          </m:rPr>
          <m:t>[</m:t>
        </m:r>
        <m:r>
          <m:rPr>
            <m:sty m:val="p"/>
          </m:rPr>
          <m:t>−</m:t>
        </m:r>
        <m:r>
          <m:t>0.10</m:t>
        </m:r>
        <m:r>
          <m:rPr>
            <m:sty m:val="p"/>
          </m:rPr>
          <m:t>,</m:t>
        </m:r>
        <m:r>
          <m:t>0.10</m:t>
        </m:r>
        <m:r>
          <m:rPr>
            <m:sty m:val="p"/>
          </m:rPr>
          <m:t>]</m:t>
        </m:r>
      </m:oMath>
      <w:r>
        <w:t xml:space="preserve">.</w:t>
      </w:r>
    </w:p>
    <w:tbl>
      <w:tblPr>
        <w:tblStyle w:val="Table"/>
        <w:tblW w:type="auto" w:w="0"/>
        <w:tblLayout w:type="fixed"/>
        <w:tblLook w:firstRow="1" w:lastRow="0" w:firstColumn="0" w:lastColumn="0" w:noHBand="0" w:noVBand="0" w:val="0020"/>
        <w:tblCaption w:val="Cosmos 3 isolated-content interventions across 10 states from six tasks. Entries are mean donor-directed projections with 95% state-bootstrap intervals; 0 denotes the recipient and 1 the paired donor. Robot and object masks are disjoint. The prespecified practical-equivalence region is [-0.10,0.10]."/>
      </w:tblPr>
      <w:tblGrid>
        <w:gridCol w:w="2640"/>
        <w:gridCol w:w="2640"/>
        <w:gridCol w:w="2640"/>
      </w:tblGrid>
      <w:tr>
        <w:trPr>
          <w:tblHeader w:val="on"/>
          <w:cantSplit/>
        </w:trPr>
        <w:tc>
          <w:tcPr>
            <w:tcW w:type="dxa" w:w="2160"/>
          </w:tcPr>
          <w:p>
            <w:pPr>
              <w:pStyle w:val="Compact"/>
              <w:spacing w:before="0" w:after="0" w:line="240" w:lineRule="auto"/>
              <w:jc w:val="left"/>
            </w:pPr>
            <w:r>
              <w:rPr>
                <w:sz w:val="16"/>
              </w:rPr>
              <w:t xml:space="preserve">Donor pixels inserted</w:t>
            </w:r>
          </w:p>
        </w:tc>
        <w:tc>
          <w:tcPr>
            <w:tcW w:type="dxa" w:w="3600"/>
          </w:tcPr>
          <w:p>
            <w:pPr>
              <w:pStyle w:val="Compact"/>
              <w:spacing w:before="0" w:after="0" w:line="240" w:lineRule="auto"/>
              <w:jc w:val="center"/>
            </w:pPr>
            <w:r>
              <w:rPr>
                <w:sz w:val="16"/>
              </w:rPr>
              <w:t xml:space="preserve">Action projection [95% CI]</w:t>
            </w:r>
          </w:p>
        </w:tc>
        <w:tc>
          <w:tcPr>
            <w:tcW w:type="dxa" w:w="3600"/>
          </w:tcPr>
          <w:p>
            <w:pPr>
              <w:pStyle w:val="Compact"/>
              <w:spacing w:before="0" w:after="0" w:line="240" w:lineRule="auto"/>
              <w:jc w:val="center"/>
            </w:pPr>
            <w:r>
              <w:rPr>
                <w:sz w:val="16"/>
              </w:rPr>
              <w:t xml:space="preserve">Endpoint projection [95% CI]</w:t>
            </w:r>
          </w:p>
        </w:tc>
      </w:tr>
      <w:tr>
        <w:trPr>
          <w:cantSplit/>
        </w:trPr>
        <w:tc>
          <w:tcPr>
            <w:tcW w:type="dxa" w:w="2160"/>
          </w:tcPr>
          <w:p>
            <w:pPr>
              <w:pStyle w:val="Compact"/>
              <w:spacing w:before="0" w:after="0" w:line="240" w:lineRule="auto"/>
              <w:jc w:val="left"/>
            </w:pPr>
            <w:r>
              <w:rPr>
                <w:sz w:val="16"/>
              </w:rPr>
              <w:t xml:space="preserve">Robot only</w:t>
            </w:r>
          </w:p>
        </w:tc>
        <w:tc>
          <w:tcPr>
            <w:tcW w:type="dxa" w:w="3600"/>
          </w:tcPr>
          <w:p>
            <w:pPr>
              <w:pStyle w:val="Compact"/>
              <w:spacing w:before="0" w:after="0" w:line="240" w:lineRule="auto"/>
              <w:jc w:val="center"/>
            </w:pPr>
            <w:r>
              <w:rPr>
                <w:sz w:val="16"/>
              </w:rPr>
              <w:t xml:space="preserve">0.0022 [</w:t>
            </w:r>
            <m:oMath>
              <m:r>
                <m:rPr>
                  <m:sty m:val="p"/>
                </m:rPr>
                <m:t>−</m:t>
              </m:r>
              <m:r>
                <m:t>0.0016</m:t>
              </m:r>
            </m:oMath>
            <w:r>
              <w:rPr>
                <w:sz w:val="16"/>
              </w:rPr>
              <w:t xml:space="preserve">, 0.0060]</w:t>
            </w:r>
          </w:p>
        </w:tc>
        <w:tc>
          <w:tcPr>
            <w:tcW w:type="dxa" w:w="3600"/>
          </w:tcPr>
          <w:p>
            <w:pPr>
              <w:pStyle w:val="Compact"/>
              <w:spacing w:before="0" w:after="0" w:line="240" w:lineRule="auto"/>
              <w:jc w:val="center"/>
            </w:pPr>
            <w:r>
              <w:rPr>
                <w:sz w:val="16"/>
              </w:rPr>
              <w:t xml:space="preserve">0.0102 [</w:t>
            </w:r>
            <m:oMath>
              <m:r>
                <m:rPr>
                  <m:sty m:val="p"/>
                </m:rPr>
                <m:t>−</m:t>
              </m:r>
              <m:r>
                <m:t>0.0067</m:t>
              </m:r>
            </m:oMath>
            <w:r>
              <w:rPr>
                <w:sz w:val="16"/>
              </w:rPr>
              <w:t xml:space="preserve">, 0.0275]</w:t>
            </w:r>
          </w:p>
        </w:tc>
      </w:tr>
      <w:tr>
        <w:trPr>
          <w:cantSplit/>
        </w:trPr>
        <w:tc>
          <w:tcPr>
            <w:tcW w:type="dxa" w:w="2160"/>
          </w:tcPr>
          <w:p>
            <w:pPr>
              <w:pStyle w:val="Compact"/>
              <w:spacing w:before="0" w:after="0" w:line="240" w:lineRule="auto"/>
              <w:jc w:val="left"/>
            </w:pPr>
            <w:r>
              <w:rPr>
                <w:sz w:val="16"/>
              </w:rPr>
              <w:t xml:space="preserve">Object only</w:t>
            </w:r>
          </w:p>
        </w:tc>
        <w:tc>
          <w:tcPr>
            <w:tcW w:type="dxa" w:w="3600"/>
          </w:tcPr>
          <w:p>
            <w:pPr>
              <w:pStyle w:val="Compact"/>
              <w:spacing w:before="0" w:after="0" w:line="240" w:lineRule="auto"/>
              <w:jc w:val="center"/>
            </w:pPr>
            <w:r>
              <w:rPr>
                <w:sz w:val="16"/>
              </w:rPr>
              <w:t xml:space="preserve">0.0061 [0.0009, 0.0119]</w:t>
            </w:r>
          </w:p>
        </w:tc>
        <w:tc>
          <w:tcPr>
            <w:tcW w:type="dxa" w:w="3600"/>
          </w:tcPr>
          <w:p>
            <w:pPr>
              <w:pStyle w:val="Compact"/>
              <w:spacing w:before="0" w:after="0" w:line="240" w:lineRule="auto"/>
              <w:jc w:val="center"/>
            </w:pPr>
            <m:oMath>
              <m:r>
                <m:rPr>
                  <m:sty m:val="p"/>
                </m:rPr>
                <m:t>−</m:t>
              </m:r>
              <m:r>
                <m:t>0.0001</m:t>
              </m:r>
            </m:oMath>
            <w:r>
              <w:rPr>
                <w:sz w:val="16"/>
              </w:rPr>
              <w:t xml:space="preserve"> </w:t>
            </w:r>
            <w:r>
              <w:rPr>
                <w:sz w:val="16"/>
              </w:rPr>
              <w:t xml:space="preserve">[</w:t>
            </w:r>
            <m:oMath>
              <m:r>
                <m:rPr>
                  <m:sty m:val="p"/>
                </m:rPr>
                <m:t>−</m:t>
              </m:r>
              <m:r>
                <m:t>0.0254</m:t>
              </m:r>
            </m:oMath>
            <w:r>
              <w:rPr>
                <w:sz w:val="16"/>
              </w:rPr>
              <w:t xml:space="preserve">, 0.0239]</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kv_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kv_pathway"/>
    <w:p>
      <w:pPr>
        <w:pStyle w:val="TableCaption"/>
        <w:keepNext/>
      </w:pPr>
      <w:r>
        <w:t xml:space="preserve">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w:t>
      </w:r>
    </w:p>
    <w:tbl>
      <w:tblPr>
        <w:tblStyle w:val="Table"/>
        <w:tblW w:type="auto" w:w="0"/>
        <w:tblLayout w:type="fixed"/>
        <w:tblLook w:firstRow="1" w:lastRow="0" w:firstColumn="0" w:lastColumn="0" w:noHBand="0" w:noVBand="0" w:val="0020"/>
        <w:tblCaption w:val="Cosmos 3 future-token pathway intervention across 22 states from six tasks. Donor steering is the unpatched donor-directed projection. Replacement loss is the reduction in that projection after replacing donor-future K/V with self-future K/V; intervals are 95% state-bootstrap intervals. Relative reduction is the replacement-loss point estimate divided by unpatched donor steering."/>
      </w:tblPr>
      <w:tblGrid>
        <w:gridCol w:w="1980"/>
        <w:gridCol w:w="1980"/>
        <w:gridCol w:w="1980"/>
        <w:gridCol w:w="1980"/>
      </w:tblGrid>
      <w:tr>
        <w:trPr>
          <w:tblHeader w:val="on"/>
          <w:cantSplit/>
        </w:trPr>
        <w:tc>
          <w:tcPr>
            <w:tcW w:type="dxa" w:w="1944"/>
          </w:tcPr>
          <w:p>
            <w:pPr>
              <w:pStyle w:val="Compact"/>
              <w:spacing w:before="0" w:after="0" w:line="240" w:lineRule="auto"/>
              <w:jc w:val="left"/>
            </w:pPr>
            <w:r>
              <w:rPr>
                <w:sz w:val="16"/>
              </w:rPr>
              <w:t xml:space="preserve">Outcome</w:t>
            </w:r>
          </w:p>
        </w:tc>
        <w:tc>
          <w:tcPr>
            <w:tcW w:type="dxa" w:w="1728"/>
          </w:tcPr>
          <w:p>
            <w:pPr>
              <w:pStyle w:val="Compact"/>
              <w:spacing w:before="0" w:after="0" w:line="240" w:lineRule="auto"/>
              <w:jc w:val="center"/>
            </w:pPr>
            <w:r>
              <w:rPr>
                <w:sz w:val="16"/>
              </w:rPr>
              <w:t xml:space="preserve">Donor steering</w:t>
            </w:r>
          </w:p>
        </w:tc>
        <w:tc>
          <w:tcPr>
            <w:tcW w:type="dxa" w:w="3816"/>
          </w:tcPr>
          <w:p>
            <w:pPr>
              <w:pStyle w:val="Compact"/>
              <w:spacing w:before="0" w:after="0" w:line="240" w:lineRule="auto"/>
              <w:jc w:val="center"/>
            </w:pPr>
            <w:r>
              <w:rPr>
                <w:sz w:val="16"/>
              </w:rPr>
              <w:t xml:space="preserve">Replacement loss [95% CI]</w:t>
            </w:r>
          </w:p>
        </w:tc>
        <w:tc>
          <w:tcPr>
            <w:tcW w:type="dxa" w:w="1872"/>
          </w:tcPr>
          <w:p>
            <w:pPr>
              <w:pStyle w:val="Compact"/>
              <w:spacing w:before="0" w:after="0" w:line="240" w:lineRule="auto"/>
              <w:jc w:val="center"/>
            </w:pPr>
            <w:r>
              <w:rPr>
                <w:sz w:val="16"/>
              </w:rPr>
              <w:t xml:space="preserve">Relative reduction</w:t>
            </w:r>
          </w:p>
        </w:tc>
      </w:tr>
      <w:tr>
        <w:trPr>
          <w:cantSplit/>
        </w:trPr>
        <w:tc>
          <w:tcPr>
            <w:tcW w:type="dxa" w:w="1944"/>
          </w:tcPr>
          <w:p>
            <w:pPr>
              <w:pStyle w:val="Compact"/>
              <w:spacing w:before="0" w:after="0" w:line="240" w:lineRule="auto"/>
              <w:jc w:val="left"/>
            </w:pPr>
            <w:r>
              <w:rPr>
                <w:sz w:val="16"/>
              </w:rPr>
              <w:t xml:space="preserve">Predicted action</w:t>
            </w:r>
          </w:p>
        </w:tc>
        <w:tc>
          <w:tcPr>
            <w:tcW w:type="dxa" w:w="1728"/>
          </w:tcPr>
          <w:p>
            <w:pPr>
              <w:pStyle w:val="Compact"/>
              <w:spacing w:before="0" w:after="0" w:line="240" w:lineRule="auto"/>
              <w:jc w:val="center"/>
            </w:pPr>
            <w:r>
              <w:rPr>
                <w:sz w:val="16"/>
              </w:rPr>
              <w:t xml:space="preserve">0.992</w:t>
            </w:r>
          </w:p>
        </w:tc>
        <w:tc>
          <w:tcPr>
            <w:tcW w:type="dxa" w:w="3816"/>
          </w:tcPr>
          <w:p>
            <w:pPr>
              <w:pStyle w:val="Compact"/>
              <w:spacing w:before="0" w:after="0" w:line="240" w:lineRule="auto"/>
              <w:jc w:val="center"/>
            </w:pPr>
            <w:r>
              <w:rPr>
                <w:sz w:val="16"/>
              </w:rPr>
              <w:t xml:space="preserve">0.877 [0.842, 0.910]</w:t>
            </w:r>
          </w:p>
        </w:tc>
        <w:tc>
          <w:tcPr>
            <w:tcW w:type="dxa" w:w="1872"/>
          </w:tcPr>
          <w:p>
            <w:pPr>
              <w:pStyle w:val="Compact"/>
              <w:spacing w:before="0" w:after="0" w:line="240" w:lineRule="auto"/>
              <w:jc w:val="center"/>
            </w:pPr>
            <w:r>
              <w:rPr>
                <w:sz w:val="16"/>
              </w:rPr>
              <w:t xml:space="preserve">88%</w:t>
            </w:r>
          </w:p>
        </w:tc>
      </w:tr>
      <w:tr>
        <w:trPr>
          <w:cantSplit/>
        </w:trPr>
        <w:tc>
          <w:tcPr>
            <w:tcW w:type="dxa" w:w="1944"/>
          </w:tcPr>
          <w:p>
            <w:pPr>
              <w:pStyle w:val="Compact"/>
              <w:spacing w:before="0" w:after="0" w:line="240" w:lineRule="auto"/>
              <w:jc w:val="left"/>
            </w:pPr>
            <w:r>
              <w:rPr>
                <w:sz w:val="16"/>
              </w:rPr>
              <w:t xml:space="preserve">Executed action</w:t>
            </w:r>
          </w:p>
        </w:tc>
        <w:tc>
          <w:tcPr>
            <w:tcW w:type="dxa" w:w="1728"/>
          </w:tcPr>
          <w:p>
            <w:pPr>
              <w:pStyle w:val="Compact"/>
              <w:spacing w:before="0" w:after="0" w:line="240" w:lineRule="auto"/>
              <w:jc w:val="center"/>
            </w:pPr>
            <w:r>
              <w:rPr>
                <w:sz w:val="16"/>
              </w:rPr>
              <w:t xml:space="preserve">0.983</w:t>
            </w:r>
          </w:p>
        </w:tc>
        <w:tc>
          <w:tcPr>
            <w:tcW w:type="dxa" w:w="3816"/>
          </w:tcPr>
          <w:p>
            <w:pPr>
              <w:pStyle w:val="Compact"/>
              <w:spacing w:before="0" w:after="0" w:line="240" w:lineRule="auto"/>
              <w:jc w:val="center"/>
            </w:pPr>
            <w:r>
              <w:rPr>
                <w:sz w:val="16"/>
              </w:rPr>
              <w:t xml:space="preserve">0.814 [0.723, 0.900]</w:t>
            </w:r>
          </w:p>
        </w:tc>
        <w:tc>
          <w:tcPr>
            <w:tcW w:type="dxa" w:w="1872"/>
          </w:tcPr>
          <w:p>
            <w:pPr>
              <w:pStyle w:val="Compact"/>
              <w:spacing w:before="0" w:after="0" w:line="240" w:lineRule="auto"/>
              <w:jc w:val="center"/>
            </w:pPr>
            <w:r>
              <w:rPr>
                <w:sz w:val="16"/>
              </w:rPr>
              <w:t xml:space="preserve">83%</w:t>
            </w:r>
          </w:p>
        </w:tc>
      </w:tr>
      <w:tr>
        <w:trPr>
          <w:cantSplit/>
        </w:trPr>
        <w:tc>
          <w:tcPr>
            <w:tcW w:type="dxa" w:w="1944"/>
          </w:tcPr>
          <w:p>
            <w:pPr>
              <w:pStyle w:val="Compact"/>
              <w:spacing w:before="0" w:after="0" w:line="240" w:lineRule="auto"/>
              <w:jc w:val="left"/>
            </w:pPr>
            <w:r>
              <w:rPr>
                <w:sz w:val="16"/>
              </w:rPr>
              <w:t xml:space="preserve">Executed endpoint</w:t>
            </w:r>
          </w:p>
        </w:tc>
        <w:tc>
          <w:tcPr>
            <w:tcW w:type="dxa" w:w="1728"/>
          </w:tcPr>
          <w:p>
            <w:pPr>
              <w:pStyle w:val="Compact"/>
              <w:spacing w:before="0" w:after="0" w:line="240" w:lineRule="auto"/>
              <w:jc w:val="center"/>
            </w:pPr>
            <w:r>
              <w:rPr>
                <w:sz w:val="16"/>
              </w:rPr>
              <w:t xml:space="preserve">1.003</w:t>
            </w:r>
          </w:p>
        </w:tc>
        <w:tc>
          <w:tcPr>
            <w:tcW w:type="dxa" w:w="3816"/>
          </w:tcPr>
          <w:p>
            <w:pPr>
              <w:pStyle w:val="Compact"/>
              <w:spacing w:before="0" w:after="0" w:line="240" w:lineRule="auto"/>
              <w:jc w:val="center"/>
            </w:pPr>
            <w:r>
              <w:rPr>
                <w:sz w:val="16"/>
              </w:rPr>
              <w:t xml:space="preserve">0.851 [0.766, 0.922]</w:t>
            </w:r>
          </w:p>
        </w:tc>
        <w:tc>
          <w:tcPr>
            <w:tcW w:type="dxa" w:w="1872"/>
          </w:tcPr>
          <w:p>
            <w:pPr>
              <w:pStyle w:val="Compact"/>
              <w:spacing w:before="0" w:after="0" w:line="240" w:lineRule="auto"/>
              <w:jc w:val="center"/>
            </w:pPr>
            <w:r>
              <w:rPr>
                <w:sz w:val="16"/>
              </w:rP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100"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9" w:name="refs"/>
    <w:bookmarkStart w:id="52"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1">
        <w:r>
          <w:rPr>
            <w:rStyle w:val="Hyperlink"/>
          </w:rPr>
          <w:t xml:space="preserve">https://proceedings.neurips.cc/paper_files/paper/2023/hash/1d5b9233ad716a43be5c0d3023cb82d0-Abstract.html</w:t>
        </w:r>
      </w:hyperlink>
      <w:r>
        <w:t xml:space="preserve">.</w:t>
      </w:r>
    </w:p>
    <w:bookmarkEnd w:id="52"/>
    <w:bookmarkStart w:id="54"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3">
        <w:r>
          <w:rPr>
            <w:rStyle w:val="Hyperlink"/>
          </w:rPr>
          <w:t xml:space="preserve">https://openreview.net/forum?id=9pKtcJcMP3</w:t>
        </w:r>
      </w:hyperlink>
      <w:r>
        <w:t xml:space="preserve">.</w:t>
      </w:r>
    </w:p>
    <w:bookmarkEnd w:id="54"/>
    <w:bookmarkStart w:id="56"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5">
        <w:r>
          <w:rPr>
            <w:rStyle w:val="Hyperlink"/>
          </w:rPr>
          <w:t xml:space="preserve">https://arxiv.org/abs/1812.00568</w:t>
        </w:r>
      </w:hyperlink>
      <w:r>
        <w:t xml:space="preserve">.</w:t>
      </w:r>
    </w:p>
    <w:bookmarkEnd w:id="56"/>
    <w:bookmarkStart w:id="58"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7">
        <w:r>
          <w:rPr>
            <w:rStyle w:val="Hyperlink"/>
          </w:rPr>
          <w:t xml:space="preserve">https://doi.org/10.1111/j.1467-9868.2007.00593.x</w:t>
        </w:r>
      </w:hyperlink>
      <w:r>
        <w:t xml:space="preserve">.</w:t>
      </w:r>
    </w:p>
    <w:bookmarkEnd w:id="58"/>
    <w:bookmarkStart w:id="60"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9">
        <w:r>
          <w:rPr>
            <w:rStyle w:val="Hyperlink"/>
          </w:rPr>
          <w:t xml:space="preserve">https://doi.org/10.48550/arXiv.2304.05969</w:t>
        </w:r>
      </w:hyperlink>
      <w:r>
        <w:t xml:space="preserve">.</w:t>
      </w:r>
    </w:p>
    <w:bookmarkEnd w:id="60"/>
    <w:bookmarkStart w:id="62"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1">
        <w:r>
          <w:rPr>
            <w:rStyle w:val="Hyperlink"/>
          </w:rPr>
          <w:t xml:space="preserve">https://doi.org/10.52202/079017-3570</w:t>
        </w:r>
      </w:hyperlink>
      <w:r>
        <w:t xml:space="preserve">.</w:t>
      </w:r>
    </w:p>
    <w:bookmarkEnd w:id="62"/>
    <w:bookmarkStart w:id="64"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3">
        <w:r>
          <w:rPr>
            <w:rStyle w:val="Hyperlink"/>
          </w:rPr>
          <w:t xml:space="preserve">https://proceedings.mlr.press/v267/hu25g.html</w:t>
        </w:r>
      </w:hyperlink>
      <w:r>
        <w:t xml:space="preserve">.</w:t>
      </w:r>
    </w:p>
    <w:bookmarkEnd w:id="64"/>
    <w:bookmarkStart w:id="66"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5">
        <w:r>
          <w:rPr>
            <w:rStyle w:val="Hyperlink"/>
          </w:rPr>
          <w:t xml:space="preserve">https://openreview.net/forum?id=wPEIStHxYH</w:t>
        </w:r>
      </w:hyperlink>
      <w:r>
        <w:t xml:space="preserve">.</w:t>
      </w:r>
    </w:p>
    <w:bookmarkEnd w:id="66"/>
    <w:bookmarkStart w:id="68"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7">
        <w:r>
          <w:rPr>
            <w:rStyle w:val="Hyperlink"/>
          </w:rPr>
          <w:t xml:space="preserve">https://doi.org/10.1177/1948550617697177</w:t>
        </w:r>
      </w:hyperlink>
      <w:r>
        <w:t xml:space="preserve">.</w:t>
      </w:r>
    </w:p>
    <w:bookmarkEnd w:id="68"/>
    <w:bookmarkStart w:id="70"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9">
        <w:r>
          <w:rPr>
            <w:rStyle w:val="Hyperlink"/>
          </w:rPr>
          <w:t xml:space="preserve">https://doi.org/10.48550/arXiv.2503.00200</w:t>
        </w:r>
      </w:hyperlink>
      <w:r>
        <w:t xml:space="preserve">.</w:t>
      </w:r>
    </w:p>
    <w:bookmarkEnd w:id="70"/>
    <w:bookmarkStart w:id="72"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1">
        <w:r>
          <w:rPr>
            <w:rStyle w:val="Hyperlink"/>
          </w:rPr>
          <w:t xml:space="preserve">https://doi.org/10.52202/075280-1939</w:t>
        </w:r>
      </w:hyperlink>
      <w:r>
        <w:t xml:space="preserve">.</w:t>
      </w:r>
    </w:p>
    <w:bookmarkEnd w:id="72"/>
    <w:bookmarkStart w:id="74"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3">
        <w:r>
          <w:rPr>
            <w:rStyle w:val="Hyperlink"/>
          </w:rPr>
          <w:t xml:space="preserve">https://doi.org/10.52202/068431-1262</w:t>
        </w:r>
      </w:hyperlink>
      <w:r>
        <w:t xml:space="preserve">.</w:t>
      </w:r>
    </w:p>
    <w:bookmarkEnd w:id="74"/>
    <w:bookmarkStart w:id="76"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5">
        <w:r>
          <w:rPr>
            <w:rStyle w:val="Hyperlink"/>
          </w:rPr>
          <w:t xml:space="preserve">https://doi.org/10.15607/RSS.2024.XX.050</w:t>
        </w:r>
      </w:hyperlink>
      <w:r>
        <w:t xml:space="preserve">.</w:t>
      </w:r>
    </w:p>
    <w:bookmarkEnd w:id="76"/>
    <w:bookmarkStart w:id="78"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7">
        <w:r>
          <w:rPr>
            <w:rStyle w:val="Hyperlink"/>
          </w:rPr>
          <w:t xml:space="preserve">https://doi.org/10.48550/arXiv.2606.02800</w:t>
        </w:r>
      </w:hyperlink>
      <w:r>
        <w:t xml:space="preserve">.</w:t>
      </w:r>
    </w:p>
    <w:bookmarkEnd w:id="78"/>
    <w:bookmarkStart w:id="80"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9">
        <w:r>
          <w:rPr>
            <w:rStyle w:val="Hyperlink"/>
          </w:rPr>
          <w:t xml:space="preserve">https://huggingface.co/nvidia/Cosmos3-Nano-Policy-DROID</w:t>
        </w:r>
      </w:hyperlink>
      <w:r>
        <w:t xml:space="preserve">.</w:t>
      </w:r>
    </w:p>
    <w:bookmarkEnd w:id="80"/>
    <w:bookmarkStart w:id="82"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1">
        <w:r>
          <w:rPr>
            <w:rStyle w:val="Hyperlink"/>
          </w:rPr>
          <w:t xml:space="preserve">https://doi.org/10.48550/arXiv.2606.12217</w:t>
        </w:r>
      </w:hyperlink>
      <w:r>
        <w:t xml:space="preserve">.</w:t>
      </w:r>
    </w:p>
    <w:bookmarkEnd w:id="82"/>
    <w:bookmarkStart w:id="84"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3">
        <w:r>
          <w:rPr>
            <w:rStyle w:val="Hyperlink"/>
          </w:rPr>
          <w:t xml:space="preserve">https://doi.org/10.48550/arXiv.2606.27510</w:t>
        </w:r>
      </w:hyperlink>
      <w:r>
        <w:t xml:space="preserve">.</w:t>
      </w:r>
    </w:p>
    <w:bookmarkEnd w:id="84"/>
    <w:bookmarkStart w:id="86"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5">
        <w:r>
          <w:rPr>
            <w:rStyle w:val="Hyperlink"/>
          </w:rPr>
          <w:t xml:space="preserve">https://proceedings.neurips.cc/paper/2020/hash/92650b2e92217715fe312e6fa7b90d82-Abstract.html</w:t>
        </w:r>
      </w:hyperlink>
      <w:r>
        <w:t xml:space="preserve">.</w:t>
      </w:r>
    </w:p>
    <w:bookmarkEnd w:id="86"/>
    <w:bookmarkStart w:id="88"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7">
        <w:r>
          <w:rPr>
            <w:rStyle w:val="Hyperlink"/>
          </w:rPr>
          <w:t xml:space="preserve">https://doi.org/10.15607/RSS.2026.XXII.096</w:t>
        </w:r>
      </w:hyperlink>
      <w:r>
        <w:t xml:space="preserve">.</w:t>
      </w:r>
    </w:p>
    <w:bookmarkEnd w:id="88"/>
    <w:bookmarkStart w:id="90"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9">
        <w:r>
          <w:rPr>
            <w:rStyle w:val="Hyperlink"/>
          </w:rPr>
          <w:t xml:space="preserve">https://doi.org/10.48550/arXiv.2602.15922</w:t>
        </w:r>
      </w:hyperlink>
      <w:r>
        <w:t xml:space="preserve">.</w:t>
      </w:r>
    </w:p>
    <w:bookmarkEnd w:id="90"/>
    <w:bookmarkStart w:id="92"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1">
        <w:r>
          <w:rPr>
            <w:rStyle w:val="Hyperlink"/>
          </w:rPr>
          <w:t xml:space="preserve">https://doi.org/10.48550/arXiv.2603.16666</w:t>
        </w:r>
      </w:hyperlink>
      <w:r>
        <w:t xml:space="preserve">.</w:t>
      </w:r>
    </w:p>
    <w:bookmarkEnd w:id="92"/>
    <w:bookmarkStart w:id="94"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3">
        <w:r>
          <w:rPr>
            <w:rStyle w:val="Hyperlink"/>
          </w:rPr>
          <w:t xml:space="preserve">https://doi.org/10.48550/arXiv.2608.11521</w:t>
        </w:r>
      </w:hyperlink>
      <w:r>
        <w:t xml:space="preserve">.</w:t>
      </w:r>
    </w:p>
    <w:bookmarkEnd w:id="94"/>
    <w:bookmarkStart w:id="96"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5">
        <w:r>
          <w:rPr>
            <w:rStyle w:val="Hyperlink"/>
          </w:rPr>
          <w:t xml:space="preserve">https://openreview.net/forum?id=Hf17y6u9BC</w:t>
        </w:r>
      </w:hyperlink>
      <w:r>
        <w:t xml:space="preserve">.</w:t>
      </w:r>
    </w:p>
    <w:bookmarkEnd w:id="96"/>
    <w:bookmarkStart w:id="98"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7">
        <w:r>
          <w:rPr>
            <w:rStyle w:val="Hyperlink"/>
          </w:rPr>
          <w:t xml:space="preserve">https://doi.org/10.48550/arXiv.2608.04404</w:t>
        </w:r>
      </w:hyperlink>
      <w:r>
        <w:t xml:space="preserve">.</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2026-09-02T11:07:55Z</dcterms:created>
  <dcterms:modified xsi:type="dcterms:W3CDTF">2026-09-02T11:07:55Z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