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Override PartName="/word/media/rId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World Action Models Use Their Predicted Futures?</w:t>
      </w:r>
    </w:p>
    <w:p>
      <w:pPr>
        <w:pStyle w:val="Author"/>
      </w:pPr>
      <w:r>
        <w:t xml:space="preserve">Nicole Ma</w:t>
      </w:r>
    </w:p>
    <w:p>
      <w:pPr>
        <w:pStyle w:val="AbstractTitle"/>
      </w:pPr>
      <w:r>
        <w:t xml:space="preserve">Abstract</w:t>
      </w:r>
    </w:p>
    <w:p>
      <w:pPr>
        <w:pStyle w:val="Abstract"/>
      </w:pPr>
      <w:r>
        <w:t xml:space="preserve">World action models generate predicted future observations together with robot actions, but it remains unclear whether those futures influence action generation. We introduce future transplantation to test this directly. From the same simulator state, we sample two continuations and recompute one after replacing its future representation with the other’s, while holding the current inputs and sampling noise fixed. We then ask whether the recomputed action and its one-chunk simulator endpoint move toward the behavior paired with the donor future. In Cosmos Policy, at the first policy query in each of ten LIBERO-10 tasks, donor futures increase action projection by</w:t>
      </w:r>
      <w:r>
        <w:t xml:space="preserve"> </w:t>
      </w:r>
      <m:oMath>
        <m:r>
          <m:t>0.499</m:t>
        </m:r>
      </m:oMath>
      <w:r>
        <w:t xml:space="preserve"> </w:t>
      </w:r>
      <w:r>
        <w:t xml:space="preserve">and endpoint projection by</w:t>
      </w:r>
      <w:r>
        <w:t xml:space="preserve"> </w:t>
      </w:r>
      <m:oMath>
        <m:r>
          <m:t>0.552</m:t>
        </m:r>
      </m:oMath>
      <w:r>
        <w:t xml:space="preserve"> </w:t>
      </w:r>
      <w:r>
        <w:t xml:space="preserve">relative to self-future recomputation. Effects are much smaller at later sampled states. Camera-future replacements also steer actions, whereas future proprioception and isolated object-state changes have near-zero effects. This pattern is consistent with sensitivity to camera-visible robot motion. In Cosmos 3, transplanted futures steer actions and endpoints across four RoboLab states. Replacing future-token keys and values wherever action tokens directly attend to future tokens reduces the action shift by</w:t>
      </w:r>
      <w:r>
        <w:t xml:space="preserve"> </w:t>
      </w:r>
      <m:oMath>
        <m:r>
          <m:t>0.842</m:t>
        </m:r>
      </m:oMath>
      <w:r>
        <w:t xml:space="preserve"> </w:t>
      </w:r>
      <w:r>
        <w:t xml:space="preserve">projection units on four calibration states and substantially attenuates it in one held-out state. These results show that generated future content can influence WAM actions. They do not establish that either model compares predicted task outcomes or performs planning.</w:t>
      </w:r>
    </w:p>
    <w:bookmarkStart w:id="13" w:name="sec:introduction"/>
    <w:p>
      <w:pPr>
        <w:pStyle w:val="Heading1"/>
      </w:pPr>
      <w:r>
        <w:t xml:space="preserve">Introduction</w:t>
      </w:r>
    </w:p>
    <w:p>
      <w:pPr>
        <w:pStyle w:val="FirstParagraph"/>
      </w:pPr>
      <w:r>
        <w:t xml:space="preserve">World action models (WAMs) couple prediction and control: the same model generates possible future observations and the robot action to take next</w:t>
      </w:r>
      <w:r>
        <w:t xml:space="preserve"> </w:t>
      </w:r>
      <w:r>
        <w:t xml:space="preserve">(Kim et al. 2026; NVIDIA 2026a)</w:t>
      </w:r>
      <w:r>
        <w:t xml:space="preserve">. This design suggests that a WAM may use its predicted future when producing an action. Joint generation alone, however, does not establish that computation. A future may be an unused output, a generic computational workspace, a visual description of the robot motion paired with the action, or a prediction of task consequences used to choose among actions.</w:t>
      </w:r>
    </w:p>
    <w:p>
      <w:pPr>
        <w:pStyle w:val="BodyText"/>
      </w:pPr>
      <w:r>
        <w:t xml:space="preserve">These possibilities imply different accounts of the policy. If predicted robot motion drives the action, the model resembles visual inverse dynamics: it maps a current observation and a displayed future pose to the motion connecting them</w:t>
      </w:r>
      <w:r>
        <w:t xml:space="preserve"> </w:t>
      </w:r>
      <w:r>
        <w:t xml:space="preserve">(Hu et al. 2025; Du et al. 2023)</w:t>
      </w:r>
      <w:r>
        <w:t xml:space="preserve">. If predicted object changes drive action selection, the computation is closer to visual planning, where candidate actions or subgoals are evaluated through their predicted outcomes</w:t>
      </w:r>
      <w:r>
        <w:t xml:space="preserve"> </w:t>
      </w:r>
      <w:r>
        <w:t xml:space="preserve">(Ebert et al. 2018; Du et al. 2024)</w:t>
      </w:r>
      <w:r>
        <w:t xml:space="preserve">. We study Cosmos Policy in its direct-policy mode and the diffusion-generator component of Cosmos3-Nano-Policy-DROID. Neither inference procedure evaluated here generates and scores multiple candidate actions before acting.</w:t>
      </w:r>
    </w:p>
    <w:p>
      <w:pPr>
        <w:pStyle w:val="BodyText"/>
      </w:pPr>
      <w:r>
        <w:t xml:space="preserve">RIFT provides the closest causal evidence that future representations matter</w:t>
      </w:r>
      <w:r>
        <w:t xml:space="preserve"> </w:t>
      </w:r>
      <w:r>
        <w:t xml:space="preserve">(Zhang et al. 2026)</w:t>
      </w:r>
      <w:r>
        <w:t xml:space="preserve">. It masks cached values at future positions or assigns them to different positions, changing closed-loop trajectories and task success across several WAMs. These interventions establish dependence on future-position activations, but they cannot identify the information being used. An arbitrary corruption may move an action in any direction, even if it destroys no meaningful representation of an alternative behavior.</w:t>
      </w:r>
    </w:p>
    <w:p>
      <w:pPr>
        <w:pStyle w:val="BodyText"/>
      </w:pPr>
      <w:r>
        <w:t xml:space="preserve">We introduce</w:t>
      </w:r>
      <w:r>
        <w:t xml:space="preserve"> </w:t>
      </w:r>
      <w:r>
        <w:rPr>
          <w:i/>
          <w:iCs/>
        </w:rPr>
        <w:t xml:space="preserve">reachable-donor future transplantation</w:t>
      </w:r>
      <w:r>
        <w:t xml:space="preserve">. Starting from the same restored simulator state, we sample two continuations from the unmodified policy. We designate one continuation as the recipient and the other as the donor, then recompute the recipient with the donor’s predicted future while keeping its current inputs and random draws fixed. The donor action and endpoint are never given to the model; they are used only as references. We measure whether the recomputed action and its executed endpoint move toward the donor behavior rather than merely away from the recipient (Figure </w:t>
      </w:r>
      <w:hyperlink w:anchor="fig:overview">
        <w:r>
          <w:rPr>
            <w:rStyle w:val="Hyperlink"/>
          </w:rPr>
          <w:t xml:space="preserve">1</w:t>
        </w:r>
      </w:hyperlink>
      <w:r>
        <w:t xml:space="preserve">).</w:t>
      </w:r>
    </w:p>
    <w:bookmarkStart w:id="12" w:name="fig:overview"/>
    <w:p>
      <w:pPr>
        <w:pStyle w:val="CaptionedFigure"/>
      </w:pPr>
      <w:r>
        <w:drawing>
          <wp:inline>
            <wp:extent cx="5257800" cy="169545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257800" cy="1695450"/>
                    </a:xfrm>
                    <a:prstGeom prst="rect">
                      <a:avLst/>
                    </a:prstGeom>
                    <a:noFill/>
                    <a:ln w="9525">
                      <a:noFill/>
                      <a:headEnd/>
                      <a:tailEnd/>
                    </a:ln>
                  </pic:spPr>
                </pic:pic>
              </a:graphicData>
            </a:graphic>
          </wp:inline>
        </w:drawing>
      </w:r>
    </w:p>
    <w:p>
      <w:pPr>
        <w:pStyle w:val="ImageCaption"/>
      </w:pPr>
      <w:r>
        <w:t xml:space="preserve">Future transplantation. We generate two continuations from one simulator state, recompute the recipient with the donor future, and project the new action and one-chunk endpoint onto the recipient-to-donor direction. In Cosmos 3, we additionally replace future-token keys and values to test their contribution to the action shift.</w:t>
      </w:r>
    </w:p>
    <w:bookmarkEnd w:id="12"/>
    <w:p>
      <w:pPr>
        <w:pStyle w:val="BodyText"/>
      </w:pPr>
      <w:r>
        <w:t xml:space="preserve">Transplanted futures steer actions and simulator endpoints toward the donor in both models. Cosmos Policy experiments further show much larger effects for camera futures than for future proprioception or isolated object-state changes. In Cosmos 3, replacing future-token keys and values substantially attenuates the action shift. These findings answer three successively narrower questions: whether future content affects action, which changes in that content matter in Cosmos Policy, and which attention activations contribute to the Cosmos 3 effect. Because the content and pathway experiments use different models, they do not form a single end-to-end mechanism. They also do not show that either model evaluates predicted task outcomes.</w:t>
      </w:r>
    </w:p>
    <w:bookmarkEnd w:id="13"/>
    <w:bookmarkStart w:id="14" w:name="sec:related"/>
    <w:p>
      <w:pPr>
        <w:pStyle w:val="Heading1"/>
      </w:pPr>
      <w:r>
        <w:t xml:space="preserve">Related Work</w:t>
      </w:r>
    </w:p>
    <w:p>
      <w:pPr>
        <w:pStyle w:val="FirstParagraph"/>
      </w:pPr>
      <w:r>
        <w:t xml:space="preserve">Robot policies use predicted visual futures through several interfaces. Some methods first generate a future video and then infer actions from that video or its representation</w:t>
      </w:r>
      <w:r>
        <w:t xml:space="preserve"> </w:t>
      </w:r>
      <w:r>
        <w:t xml:space="preserve">(Hu et al. 2025; Du et al. 2023)</w:t>
      </w:r>
      <w:r>
        <w:t xml:space="preserve">. Others model video and actions jointly</w:t>
      </w:r>
      <w:r>
        <w:t xml:space="preserve"> </w:t>
      </w:r>
      <w:r>
        <w:t xml:space="preserve">(Guo et al. 2024; Li et al. 2025; Kim et al. 2026; NVIDIA 2026a)</w:t>
      </w:r>
      <w:r>
        <w:t xml:space="preserve">. Joint training does not require that a model generate or use video at inference time; UVA, for example, can omit video generation during inference</w:t>
      </w:r>
      <w:r>
        <w:t xml:space="preserve"> </w:t>
      </w:r>
      <w:r>
        <w:t xml:space="preserve">(Li et al. 2025)</w:t>
      </w:r>
      <w:r>
        <w:t xml:space="preserve">. Explicit visual planners instead generate candidate actions or subgoals, predict their outcomes, and compare those outcomes using a goal or value function</w:t>
      </w:r>
      <w:r>
        <w:t xml:space="preserve"> </w:t>
      </w:r>
      <w:r>
        <w:t xml:space="preserve">(Ebert et al. 2018; Du et al. 2024)</w:t>
      </w:r>
      <w:r>
        <w:t xml:space="preserve">.</w:t>
      </w:r>
    </w:p>
    <w:p>
      <w:pPr>
        <w:pStyle w:val="BodyText"/>
      </w:pPr>
      <w:r>
        <w:t xml:space="preserve">Recent WAM studies have begun to separate predictive training from the use of predictions during action generation. Fast-WAM removes explicit future rollout while retaining competitive policy performance</w:t>
      </w:r>
      <w:r>
        <w:t xml:space="preserve"> </w:t>
      </w:r>
      <w:r>
        <w:t xml:space="preserve">(Yuan et al. 2026)</w:t>
      </w:r>
      <w:r>
        <w:t xml:space="preserve">. Faster-WAM keeps a lower-cost connection from future representations to actions and reports improved robustness in its evaluation settings</w:t>
      </w:r>
      <w:r>
        <w:t xml:space="preserve"> </w:t>
      </w:r>
      <w:r>
        <w:t xml:space="preserve">(Zhao et al. 2026)</w:t>
      </w:r>
      <w:r>
        <w:t xml:space="preserve">. AGRA finds that visually plausible predictions do not necessarily support reliable action inference in one architecture</w:t>
      </w:r>
      <w:r>
        <w:t xml:space="preserve"> </w:t>
      </w:r>
      <w:r>
        <w:t xml:space="preserve">(Qiu et al. 2026)</w:t>
      </w:r>
      <w:r>
        <w:t xml:space="preserve">. RIFT directly intervenes on activations at future positions</w:t>
      </w:r>
      <w:r>
        <w:t xml:space="preserve"> </w:t>
      </w:r>
      <w:r>
        <w:t xml:space="preserve">(Zhang et al. 2026)</w:t>
      </w:r>
      <w:r>
        <w:t xml:space="preserve">. We instead replace one naturally generated future with another and test whether the action follows the selected donor.</w:t>
      </w:r>
    </w:p>
    <w:p>
      <w:pPr>
        <w:pStyle w:val="BodyText"/>
      </w:pPr>
      <w:r>
        <w:t xml:space="preserve">Future transplantation is an activation-replacement intervention. Such methods distinguish information that is merely decodable from information that affects a model’s output</w:t>
      </w:r>
      <w:r>
        <w:t xml:space="preserve"> </w:t>
      </w:r>
      <w:r>
        <w:t xml:space="preserve">(Pearl 2001; Meng et al. 2022; Goldowsky-Dill et al. 2023; Zhang and Nanda 2024)</w:t>
      </w:r>
      <w:r>
        <w:t xml:space="preserve">. A replacement can affect several computational routes at once, and untouched activations may compensate for it</w:t>
      </w:r>
      <w:r>
        <w:t xml:space="preserve"> </w:t>
      </w:r>
      <w:r>
        <w:t xml:space="preserve">(Vaidyanathan et al. 2026)</w:t>
      </w:r>
      <w:r>
        <w:t xml:space="preserve">. We therefore use the Cosmos 3 intervention only to test whether future-token keys and values contribute to the action shift, not to claim a complete causal decomposition.</w:t>
      </w:r>
    </w:p>
    <w:bookmarkEnd w:id="14"/>
    <w:bookmarkStart w:id="18" w:name="sec:method"/>
    <w:p>
      <w:pPr>
        <w:pStyle w:val="Heading1"/>
      </w:pPr>
      <w:r>
        <w:t xml:space="preserve">Methods</w:t>
      </w:r>
    </w:p>
    <w:bookmarkStart w:id="15" w:name="Xf0705b5aec3ba6ca91c2cc5d339e58d96b08c49"/>
    <w:p>
      <w:pPr>
        <w:pStyle w:val="Heading2"/>
      </w:pPr>
      <w:r>
        <w:t xml:space="preserve">Future transplantation and directional projection</w:t>
      </w:r>
    </w:p>
    <w:p>
      <w:pPr>
        <w:pStyle w:val="FirstParagraph"/>
      </w:pPr>
      <w:r>
        <w:t xml:space="preserve">Let</w:t>
      </w:r>
      <w:r>
        <w:t xml:space="preserve"> </w:t>
      </w:r>
      <m:oMath>
        <m:r>
          <m:t>S</m:t>
        </m:r>
      </m:oMath>
      <w:r>
        <w:t xml:space="preserve"> </w:t>
      </w:r>
      <w:r>
        <w:t xml:space="preserve">be a saved simulator state. Two runs of the unmodified policy from</w:t>
      </w:r>
      <w:r>
        <w:t xml:space="preserve"> </w:t>
      </w:r>
      <m:oMath>
        <m:r>
          <m:t>S</m:t>
        </m:r>
      </m:oMath>
      <w:r>
        <w:t xml:space="preserve"> </w:t>
      </w:r>
      <w:r>
        <w:t xml:space="preserve">produce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oMath>
      <w:r>
        <w:t xml:space="preserve"> </w:t>
      </w:r>
      <w:r>
        <w:t xml:space="preserve">and</w:t>
      </w:r>
      <w:r>
        <w:t xml:space="preserve"> </w:t>
      </w:r>
      <m:oMath>
        <m:sSub>
          <m:e>
            <m:r>
              <m:t>F</m:t>
            </m:r>
          </m:e>
          <m:sub>
            <m:r>
              <m:t>B</m:t>
            </m:r>
          </m:sub>
        </m:sSub>
      </m:oMath>
      <w:r>
        <w:t xml:space="preserve">, action chunks</w:t>
      </w:r>
      <w:r>
        <w:t xml:space="preserve"> </w:t>
      </w:r>
      <m:oMath>
        <m:sSub>
          <m:e>
            <m:r>
              <m:rPr>
                <m:sty m:val="bi"/>
              </m:rPr>
              <m:t>a</m:t>
            </m:r>
          </m:e>
          <m:sub>
            <m:r>
              <m:t>A</m:t>
            </m:r>
          </m:sub>
        </m:sSub>
      </m:oMath>
      <w:r>
        <w:t xml:space="preserve"> </w:t>
      </w:r>
      <w:r>
        <w:t xml:space="preserve">and</w:t>
      </w:r>
      <w:r>
        <w:t xml:space="preserve"> </w:t>
      </w:r>
      <m:oMath>
        <m:sSub>
          <m:e>
            <m:r>
              <m:rPr>
                <m:sty m:val="bi"/>
              </m:rPr>
              <m:t>a</m:t>
            </m:r>
          </m:e>
          <m:sub>
            <m:r>
              <m:t>B</m:t>
            </m:r>
          </m:sub>
        </m:sSub>
      </m:oMath>
      <w:r>
        <w:t xml:space="preserve">, and endpoints</w:t>
      </w:r>
      <w:r>
        <w:t xml:space="preserve"> </w:t>
      </w:r>
      <m:oMath>
        <m:sSub>
          <m:e>
            <m:r>
              <m:rPr>
                <m:sty m:val="bi"/>
              </m:rPr>
              <m:t>e</m:t>
            </m:r>
          </m:e>
          <m:sub>
            <m:r>
              <m:t>A</m:t>
            </m:r>
          </m:sub>
        </m:sSub>
      </m:oMath>
      <w:r>
        <w:t xml:space="preserve"> </w:t>
      </w:r>
      <w:r>
        <w:t xml:space="preserve">and</w:t>
      </w:r>
      <w:r>
        <w:t xml:space="preserve"> </w:t>
      </w:r>
      <m:oMath>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 and</w:t>
      </w:r>
      <w:r>
        <w:t xml:space="preserve"> </w:t>
      </w:r>
      <m:oMath>
        <m:r>
          <m:t>B</m:t>
        </m:r>
      </m:oMath>
      <w:r>
        <w:t xml:space="preserve"> </w:t>
      </w:r>
      <w:r>
        <w:t xml:space="preserve">the donor.</w:t>
      </w:r>
    </w:p>
    <w:p>
      <w:pPr>
        <w:pStyle w:val="BodyText"/>
      </w:pPr>
      <w:r>
        <w:t xml:space="preserve">To recompute branch</w:t>
      </w:r>
      <w:r>
        <w:t xml:space="preserve"> </w:t>
      </w:r>
      <m:oMath>
        <m:r>
          <m:t>A</m:t>
        </m:r>
      </m:oMath>
      <w:r>
        <w:t xml:space="preserve">, we restore the same state and observation. We keep the instruction, action-noise realization, future-noise realization, solver, and denoising schedule fixed, but replace</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also reverse the roles of</w:t>
      </w:r>
      <w:r>
        <w:t xml:space="preserve"> </w:t>
      </w:r>
      <m:oMath>
        <m:r>
          <m:t>A</m:t>
        </m:r>
      </m:oMath>
      <w:r>
        <w:t xml:space="preserve"> </w:t>
      </w:r>
      <w:r>
        <w:t xml:space="preserve">and</w:t>
      </w:r>
      <w:r>
        <w:t xml:space="preserve"> </w:t>
      </w:r>
      <m:oMath>
        <m:r>
          <m:t>B</m:t>
        </m:r>
      </m:oMath>
      <w:r>
        <w:t xml:space="preserve">. For either an action chunk or endpoint, let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We measure the projection of an intervened output</w:t>
      </w:r>
      <w:r>
        <w:t xml:space="preserve"> </w:t>
      </w:r>
      <m:oMath>
        <m:acc>
          <m:accPr>
            <m:chr m:val="̂"/>
          </m:accPr>
          <m:e>
            <m:r>
              <m:rPr>
                <m:sty m:val="bi"/>
              </m:rPr>
              <m:t>x</m:t>
            </m:r>
          </m:e>
        </m:acc>
      </m:oMath>
      <w:r>
        <w:t xml:space="preserve"> </w:t>
      </w:r>
      <w:r>
        <w:t xml:space="preserve">onto the recipient-to-donor direction:</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has projection 0 and the donor has projection 1. We also recompute the recipient with its own future and define</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A positive value means that the donor future moves the output toward the donor behavior. An arbitrary perturbation can change the output substantially while having zero or negative projection.</w:t>
      </w:r>
    </w:p>
    <w:bookmarkEnd w:id="15"/>
    <w:bookmarkStart w:id="16" w:name="models-states-and-controls"/>
    <w:p>
      <w:pPr>
        <w:pStyle w:val="Heading2"/>
      </w:pPr>
      <w:r>
        <w:t xml:space="preserve">Models, states, and controls</w:t>
      </w:r>
    </w:p>
    <w:p>
      <w:pPr>
        <w:pStyle w:val="FirstParagraph"/>
      </w:pPr>
      <w:r>
        <w:t xml:space="preserve">For Cosmos Policy, we use the</w:t>
      </w:r>
      <w:r>
        <w:t xml:space="preserve"> </w:t>
      </w:r>
      <w:r>
        <w:rPr>
          <w:rStyle w:val="VerbatimChar"/>
        </w:rPr>
        <w:t xml:space="preserve">Cosmos-Policy-LIBERO-Predict2-2B</w:t>
      </w:r>
      <w:r>
        <w:t xml:space="preserve"> </w:t>
      </w:r>
      <w:r>
        <w:t xml:space="preserve">checkpoint in direct-policy mode on the ten long-horizon LIBERO tasks, which we call LIBERO-10</w:t>
      </w:r>
      <w:r>
        <w:t xml:space="preserve"> </w:t>
      </w:r>
      <w:r>
        <w:t xml:space="preserve">(Kim et al. 2026; Liu et al. 2023)</w:t>
      </w:r>
      <w:r>
        <w:t xml:space="preserve">. The prespecified evaluation set contains 30 states: one per task at the first policy query, after three action chunks, and after six action chunks. At each state, eight unmodified runs are used to select one pair based only on action and endpoint distance. We evaluate both transplant directions with three future-noise draws each.</w:t>
      </w:r>
    </w:p>
    <w:p>
      <w:pPr>
        <w:pStyle w:val="BodyText"/>
      </w:pPr>
      <w:r>
        <w:t xml:space="preserve">For Cosmos 3, we intervene in the 36-layer diffusion-generator component of the 16B</w:t>
      </w:r>
      <w:r>
        <w:t xml:space="preserve"> </w:t>
      </w:r>
      <w:r>
        <w:rPr>
          <w:rStyle w:val="VerbatimChar"/>
        </w:rPr>
        <w:t xml:space="preserve">Cosmos3-Nano-Policy-DROID</w:t>
      </w:r>
      <w:r>
        <w:t xml:space="preserve"> </w:t>
      </w:r>
      <w:r>
        <w:t xml:space="preserve">checkpoint, where future-video and action coordinates are jointly denoised</w:t>
      </w:r>
      <w:r>
        <w:t xml:space="preserve"> </w:t>
      </w:r>
      <w:r>
        <w:t xml:space="preserve">(NVIDIA 2026a, 2026b)</w:t>
      </w:r>
      <w:r>
        <w:t xml:space="preserve">. We evaluate one state from each of four RoboLab tasks selected without intervention outcomes</w:t>
      </w:r>
      <w:r>
        <w:t xml:space="preserve"> </w:t>
      </w:r>
      <w:r>
        <w:t xml:space="preserve">(Yang et al. 2026)</w:t>
      </w:r>
      <w:r>
        <w:t xml:space="preserve">. These states provide 12 donor continuations. Each donor is tested with its model-predicted future and with a future encoded from the video produced by executing the donor action. A fifth Banana state is reserved for the held-out key–value experiment.</w:t>
      </w:r>
    </w:p>
    <w:p>
      <w:pPr>
        <w:pStyle w:val="BodyText"/>
      </w:pPr>
      <w:r>
        <w:t xml:space="preserve">Controls use the recipient’s own future, Gaussian noise matched to the donor future’s norm and distance from the recipient, and a within-task shuffled future. No-op recomputations verify that the intervention code leaves unmodified runs unchanged. At each patched Cosmos 3 attention operation, we replace only keys and values belonging to future-video tokens; no action coordinate or action-token key or value is patched directly.</w:t>
      </w:r>
    </w:p>
    <w:p>
      <w:pPr>
        <w:pStyle w:val="BodyText"/>
      </w:pPr>
      <w:r>
        <w:t xml:space="preserve">The independent unit is a restored simulator state. Reciprocal directions, donors, noise draws, and process launches are repeated measurements of that state. We average within each state and compute 95% confidence intervals with 10,000 cluster-bootstrap resamples over states</w:t>
      </w:r>
      <w:r>
        <w:t xml:space="preserve"> </w:t>
      </w:r>
      <w:r>
        <w:t xml:space="preserve">(Field and Welsh 2007)</w:t>
      </w:r>
      <w:r>
        <w:t xml:space="preserve">. For Cosmos 3, this is equivalent to resampling the four tasks. The prespecified smallest effect of interest for the confirmatory Cosmos Policy Predict2 experiments is 0.10 projection units</w:t>
      </w:r>
      <w:r>
        <w:t xml:space="preserve"> </w:t>
      </w:r>
      <w:r>
        <w:t xml:space="preserve">(Lakens 2017)</w:t>
      </w:r>
      <w:r>
        <w:t xml:space="preserve">.</w:t>
      </w:r>
    </w:p>
    <w:bookmarkEnd w:id="16"/>
    <w:bookmarkStart w:id="17" w:name="content-and-pathway-interventions"/>
    <w:p>
      <w:pPr>
        <w:pStyle w:val="Heading2"/>
      </w:pPr>
      <w:r>
        <w:t xml:space="preserve">Content and pathway interventions</w:t>
      </w:r>
    </w:p>
    <w:p>
      <w:pPr>
        <w:pStyle w:val="FirstParagraph"/>
      </w:pPr>
      <w:r>
        <w:t xml:space="preserve">We use three experiments to identify which changes in a Cosmos Policy future are associated with the action shift. First, at the ten first-query states, we replace the wrist-camera future, primary-camera future, or future proprioception separately. Second, at 20 held-out states, we independently re-render binary robot state</w:t>
      </w:r>
      <w:r>
        <w:t xml:space="preserve"> </w:t>
      </w:r>
      <m:oMath>
        <m:r>
          <m:t>R</m:t>
        </m:r>
      </m:oMath>
      <w:r>
        <w:t xml:space="preserve"> </w:t>
      </w:r>
      <w:r>
        <w:t xml:space="preserve">and object state</w:t>
      </w:r>
      <w:r>
        <w:t xml:space="preserve"> </w:t>
      </w:r>
      <m:oMath>
        <m:r>
          <m:t>O</m:t>
        </m:r>
      </m:oMath>
      <w:r>
        <w:t xml:space="preserve">, producing four</w:t>
      </w:r>
      <w:r>
        <w:t xml:space="preserve"> </w:t>
      </w:r>
      <m:oMath>
        <m:r>
          <m:t>2</m:t>
        </m:r>
        <m:r>
          <m:rPr>
            <m:sty m:val="p"/>
          </m:rPr>
          <m:t>×</m:t>
        </m:r>
        <m:r>
          <m:t>2</m:t>
        </m:r>
      </m:oMath>
      <w:r>
        <w:t xml:space="preserve"> </w:t>
      </w:r>
      <w:r>
        <w:t xml:space="preserve">combinations per state. A decoder identifies the intended combination in 74/80 primary-camera videos and 79/80 wrist-camera videos, confirming that the manipulation is visible in both views. The available analysis reports the object-state main effect, but not the robot-state main effect. Third, we search unmodified policy continuations for natural pairs that differ primarily in robot motion or object state. Only four states meet the matching criteria, below the prespecified minimum of ten, so this analysis is exploratory.</w:t>
      </w:r>
    </w:p>
    <w:p>
      <w:pPr>
        <w:pStyle w:val="BodyText"/>
      </w:pPr>
      <w:r>
        <w:t xml:space="preserve">For the Cosmos 3 pathway experiment, we record future-token keys and values from a recipient-future run, then replace the corresponding activations during a donor-future run. We test replacement at layer 16, at every direct future-to-action attention read, and at those direct reads plus future-to-current-video reads that can carry future information to the action indirectly. Four states are used to calibrate these schemes. We then freeze the interventions and apply them unchanged to the held-out Banana state. We report the decrease in donor projection caused by each replacement. This is an intervention effect, not a formal mediation estimate.</w:t>
      </w:r>
    </w:p>
    <w:bookmarkEnd w:id="17"/>
    <w:bookmarkEnd w:id="18"/>
    <w:bookmarkStart w:id="36" w:name="sec:results"/>
    <w:p>
      <w:pPr>
        <w:pStyle w:val="Heading1"/>
      </w:pPr>
      <w:r>
        <w:t xml:space="preserve">Results</w:t>
      </w:r>
    </w:p>
    <w:bookmarkStart w:id="25" w:name="sec:directionality"/>
    <w:p>
      <w:pPr>
        <w:pStyle w:val="Heading2"/>
      </w:pPr>
      <w:r>
        <w:t xml:space="preserve">Coherent donor futures steer actions toward donor behavior</w:t>
      </w:r>
    </w:p>
    <w:bookmarkStart w:id="19" w:name="cosmos-policy."/>
    <w:p>
      <w:pPr>
        <w:pStyle w:val="Heading4"/>
      </w:pPr>
      <w:r>
        <w:t xml:space="preserve">Cosmos Policy.</w:t>
      </w:r>
    </w:p>
    <w:p>
      <w:pPr>
        <w:pStyle w:val="FirstParagraph"/>
      </w:pPr>
      <w:r>
        <w:t xml:space="preserve">At the first policy query, donor futures increase action projection by</w:t>
      </w:r>
      <w:r>
        <w:t xml:space="preserve"> </w:t>
      </w:r>
      <m:oMath>
        <m:sSub>
          <m:e>
            <m:r>
              <m:rPr>
                <m:sty m:val="p"/>
              </m:rPr>
              <m:t>Δ</m:t>
            </m:r>
          </m:e>
          <m:sub>
            <m:r>
              <m:t>a</m:t>
            </m:r>
          </m:sub>
        </m:sSub>
        <m:r>
          <m:rPr>
            <m:sty m:val="p"/>
          </m:rPr>
          <m:t>=</m:t>
        </m:r>
        <m:r>
          <m:t>0.499</m:t>
        </m:r>
      </m:oMath>
      <w:r>
        <w:t xml:space="preserve"> </w:t>
      </w:r>
      <w:r>
        <w:t xml:space="preserve">(95% CI</w:t>
      </w:r>
      <w:r>
        <w:t xml:space="preserve"> </w:t>
      </w:r>
      <m:oMath>
        <m:r>
          <m:rPr>
            <m:sty m:val="p"/>
          </m:rPr>
          <m:t>[</m:t>
        </m:r>
        <m:r>
          <m:t>0.336</m:t>
        </m:r>
        <m:r>
          <m:rPr>
            <m:sty m:val="p"/>
          </m:rPr>
          <m:t>,</m:t>
        </m:r>
        <m:r>
          <m:t>0.679</m:t>
        </m:r>
        <m:r>
          <m:rPr>
            <m:sty m:val="p"/>
          </m:rPr>
          <m:t>]</m:t>
        </m:r>
      </m:oMath>
      <w:r>
        <w:t xml:space="preserve">) relative to self-future recomputation. The effect is positive in all ten tasks. Executing the recomputed action from the same state yields a corresponding endpoint effect of</w:t>
      </w:r>
      <w:r>
        <w:t xml:space="preserve"> </w:t>
      </w:r>
      <m:oMath>
        <m:sSub>
          <m:e>
            <m:r>
              <m:rPr>
                <m:sty m:val="p"/>
              </m:rPr>
              <m:t>Δ</m:t>
            </m:r>
          </m:e>
          <m:sub>
            <m:r>
              <m:t>e</m:t>
            </m:r>
          </m:sub>
        </m:sSub>
        <m:r>
          <m:rPr>
            <m:sty m:val="p"/>
          </m:rPr>
          <m:t>=</m:t>
        </m:r>
        <m:r>
          <m:t>0.552</m:t>
        </m:r>
      </m:oMath>
      <w:r>
        <w:t xml:space="preserve"> </w:t>
      </w:r>
      <w:r>
        <w:t xml:space="preserve">(</w:t>
      </w:r>
      <m:oMath>
        <m:r>
          <m:rPr>
            <m:sty m:val="p"/>
          </m:rPr>
          <m:t>[</m:t>
        </m:r>
        <m:r>
          <m:t>0.387</m:t>
        </m:r>
        <m:r>
          <m:rPr>
            <m:sty m:val="p"/>
          </m:rPr>
          <m:t>,</m:t>
        </m:r>
        <m:r>
          <m:t>0.728</m:t>
        </m:r>
        <m:r>
          <m:rPr>
            <m:sty m:val="p"/>
          </m:rPr>
          <m:t>]</m:t>
        </m:r>
      </m:oMath>
      <w:r>
        <w:t xml:space="preserve">), also positive in all ten tasks. Relative to the Gaussian and shuffled-future controls, the action-projection differences are</w:t>
      </w:r>
      <w:r>
        <w:t xml:space="preserve"> </w:t>
      </w:r>
      <m:oMath>
        <m:r>
          <m:t>0.497</m:t>
        </m:r>
      </m:oMath>
      <w:r>
        <w:t xml:space="preserve"> </w:t>
      </w:r>
      <w:r>
        <w:t xml:space="preserve">and</w:t>
      </w:r>
      <w:r>
        <w:t xml:space="preserve"> </w:t>
      </w:r>
      <m:oMath>
        <m:r>
          <m:t>0.255</m:t>
        </m:r>
      </m:oMath>
      <w:r>
        <w:t xml:space="preserve">, and the endpoint differences are</w:t>
      </w:r>
      <w:r>
        <w:t xml:space="preserve"> </w:t>
      </w:r>
      <m:oMath>
        <m:r>
          <m:t>0.549</m:t>
        </m:r>
      </m:oMath>
      <w:r>
        <w:t xml:space="preserve"> </w:t>
      </w:r>
      <w:r>
        <w:t xml:space="preserve">and</w:t>
      </w:r>
      <w:r>
        <w:t xml:space="preserve"> </w:t>
      </w:r>
      <m:oMath>
        <m:r>
          <m:t>0.277</m:t>
        </m:r>
      </m:oMath>
      <w:r>
        <w:t xml:space="preserve">. Confidence intervals are unavailable for these secondary control contrasts.</w:t>
      </w:r>
    </w:p>
    <w:p>
      <w:pPr>
        <w:pStyle w:val="BodyText"/>
      </w:pPr>
      <w:r>
        <w:t xml:space="preserve">Effects are much smaller at the later sampled states (Figure </w:t>
      </w:r>
      <w:hyperlink w:anchor="fig:directionality">
        <w:r>
          <w:rPr>
            <w:rStyle w:val="Hyperlink"/>
          </w:rPr>
          <w:t xml:space="preserve">2</w:t>
        </w:r>
      </w:hyperlink>
      <w:r>
        <w:t xml:space="preserve">a). After three action chunks,</w:t>
      </w:r>
      <w:r>
        <w:t xml:space="preserve"> </w:t>
      </w:r>
      <m:oMath>
        <m:sSub>
          <m:e>
            <m:r>
              <m:rPr>
                <m:sty m:val="p"/>
              </m:rPr>
              <m:t>Δ</m:t>
            </m:r>
          </m:e>
          <m:sub>
            <m:r>
              <m:t>a</m:t>
            </m:r>
          </m:sub>
        </m:sSub>
        <m:r>
          <m:rPr>
            <m:sty m:val="p"/>
          </m:rPr>
          <m:t>=</m:t>
        </m:r>
        <m:r>
          <m:t>0.031</m:t>
        </m:r>
      </m:oMath>
      <w:r>
        <w:t xml:space="preserve"> </w:t>
      </w:r>
      <w:r>
        <w:t xml:space="preserve">and</w:t>
      </w:r>
      <w:r>
        <w:t xml:space="preserve"> </w:t>
      </w:r>
      <m:oMath>
        <m:sSub>
          <m:e>
            <m:r>
              <m:rPr>
                <m:sty m:val="p"/>
              </m:rPr>
              <m:t>Δ</m:t>
            </m:r>
          </m:e>
          <m:sub>
            <m:r>
              <m:t>e</m:t>
            </m:r>
          </m:sub>
        </m:sSub>
        <m:r>
          <m:rPr>
            <m:sty m:val="p"/>
          </m:rPr>
          <m:t>=</m:t>
        </m:r>
        <m:r>
          <m:t>0.004</m:t>
        </m:r>
      </m:oMath>
      <w:r>
        <w:t xml:space="preserve">; after six chunks, they are</w:t>
      </w:r>
      <w:r>
        <w:t xml:space="preserve"> </w:t>
      </w:r>
      <m:oMath>
        <m:r>
          <m:t>0.027</m:t>
        </m:r>
      </m:oMath>
      <w:r>
        <w:t xml:space="preserve"> </w:t>
      </w:r>
      <w:r>
        <w:t xml:space="preserve">and</w:t>
      </w:r>
      <w:r>
        <w:t xml:space="preserve"> </w:t>
      </w:r>
      <m:oMath>
        <m:r>
          <m:t>0.025</m:t>
        </m:r>
      </m:oMath>
      <w:r>
        <w:t xml:space="preserve">. Because each decision point uses a different saved state, these measurements do not distinguish temporal decay from state-specific variation.</w:t>
      </w:r>
    </w:p>
    <w:bookmarkEnd w:id="19"/>
    <w:bookmarkStart w:id="24" w:name="cosmos-3."/>
    <w:p>
      <w:pPr>
        <w:pStyle w:val="Heading4"/>
      </w:pPr>
      <w:r>
        <w:t xml:space="preserve">Cosmos 3.</w:t>
      </w:r>
    </w:p>
    <w:p>
      <w:pPr>
        <w:pStyle w:val="FirstParagraph"/>
      </w:pPr>
      <w:r>
        <w:t xml:space="preserve">The available Cosmos 3 analysis reports raw donor projection</w:t>
      </w:r>
      <w:r>
        <w:t xml:space="preserve"> </w:t>
      </w:r>
      <m:oMath>
        <m:r>
          <m:t>π</m:t>
        </m:r>
      </m:oMath>
      <w:r>
        <w:t xml:space="preserve">, rather than the donor-minus-self difference</w:t>
      </w:r>
      <w:r>
        <w:t xml:space="preserve"> </w:t>
      </w:r>
      <m:oMath>
        <m:r>
          <m:rPr>
            <m:sty m:val="p"/>
          </m:rPr>
          <m:t>Δ</m:t>
        </m:r>
      </m:oMath>
      <w:r>
        <w:t xml:space="preserve"> </w:t>
      </w:r>
      <w:r>
        <w:t xml:space="preserve">used above; the self-future control is near zero. Across the four independent states, model-predicted donor futures yield a mean action projection of</w:t>
      </w:r>
      <w:r>
        <w:t xml:space="preserve"> </w:t>
      </w:r>
      <m:oMath>
        <m:r>
          <m:t>0.985</m:t>
        </m:r>
      </m:oMath>
      <w:r>
        <w:t xml:space="preserve"> </w:t>
      </w:r>
      <w:r>
        <w:t xml:space="preserve">(task-bootstrap 95% CI</w:t>
      </w:r>
      <w:r>
        <w:t xml:space="preserve"> </w:t>
      </w:r>
      <m:oMath>
        <m:r>
          <m:rPr>
            <m:sty m:val="p"/>
          </m:rPr>
          <m:t>[</m:t>
        </m:r>
        <m:r>
          <m:t>0.974</m:t>
        </m:r>
        <m:r>
          <m:rPr>
            <m:sty m:val="p"/>
          </m:rPr>
          <m:t>,</m:t>
        </m:r>
        <m:r>
          <m:t>0.993</m:t>
        </m:r>
        <m:r>
          <m:rPr>
            <m:sty m:val="p"/>
          </m:rPr>
          <m:t>]</m:t>
        </m:r>
      </m:oMath>
      <w:r>
        <w:t xml:space="preserve">) and endpoint projection of</w:t>
      </w:r>
      <w:r>
        <w:t xml:space="preserve"> </w:t>
      </w:r>
      <m:oMath>
        <m:r>
          <m:t>0.975</m:t>
        </m:r>
      </m:oMath>
      <w:r>
        <w:t xml:space="preserve"> </w:t>
      </w:r>
      <w:r>
        <w:t xml:space="preserve">(</w:t>
      </w:r>
      <m:oMath>
        <m:r>
          <m:rPr>
            <m:sty m:val="p"/>
          </m:rPr>
          <m:t>[</m:t>
        </m:r>
        <m:r>
          <m:t>0.833</m:t>
        </m:r>
        <m:r>
          <m:rPr>
            <m:sty m:val="p"/>
          </m:rPr>
          <m:t>,</m:t>
        </m:r>
        <m:r>
          <m:t>1.079</m:t>
        </m:r>
        <m:r>
          <m:rPr>
            <m:sty m:val="p"/>
          </m:rPr>
          <m:t>]</m:t>
        </m:r>
      </m:oMath>
      <w:r>
        <w:t xml:space="preserve">). Futures encoded from executed donor branches yield action projection</w:t>
      </w:r>
      <w:r>
        <w:t xml:space="preserve"> </w:t>
      </w:r>
      <m:oMath>
        <m:r>
          <m:t>1.060</m:t>
        </m:r>
      </m:oMath>
      <w:r>
        <w:t xml:space="preserve"> </w:t>
      </w:r>
      <w:r>
        <w:t xml:space="preserve">(</w:t>
      </w:r>
      <m:oMath>
        <m:r>
          <m:rPr>
            <m:sty m:val="p"/>
          </m:rPr>
          <m:t>[</m:t>
        </m:r>
        <m:r>
          <m:t>1.010</m:t>
        </m:r>
        <m:r>
          <m:rPr>
            <m:sty m:val="p"/>
          </m:rPr>
          <m:t>,</m:t>
        </m:r>
        <m:r>
          <m:t>1.103</m:t>
        </m:r>
        <m:r>
          <m:rPr>
            <m:sty m:val="p"/>
          </m:rPr>
          <m:t>]</m:t>
        </m:r>
      </m:oMath>
      <w:r>
        <w:t xml:space="preserve">) and endpoint projection</w:t>
      </w:r>
      <w:r>
        <w:t xml:space="preserve"> </w:t>
      </w:r>
      <m:oMath>
        <m:r>
          <m:t>1.027</m:t>
        </m:r>
      </m:oMath>
      <w:r>
        <w:t xml:space="preserve"> </w:t>
      </w:r>
      <w:r>
        <w:t xml:space="preserve">(</w:t>
      </w:r>
      <m:oMath>
        <m:r>
          <m:rPr>
            <m:sty m:val="p"/>
          </m:rPr>
          <m:t>[</m:t>
        </m:r>
        <m:r>
          <m:t>0.824</m:t>
        </m:r>
        <m:r>
          <m:rPr>
            <m:sty m:val="p"/>
          </m:rPr>
          <m:t>,</m:t>
        </m:r>
        <m:r>
          <m:t>1.204</m:t>
        </m:r>
        <m:r>
          <m:rPr>
            <m:sty m:val="p"/>
          </m:rPr>
          <m:t>]</m:t>
        </m:r>
      </m:oMath>
      <w:r>
        <w:t xml:space="preserve">). All 24 interventions—12 donors evaluated with two future sources—have positive donor projection. Multiple donors improve measurement within a state but do not increase the number of independent states.</w:t>
      </w:r>
    </w:p>
    <w:bookmarkStart w:id="23" w:name="fig:directionality"/>
    <w:p>
      <w:pPr>
        <w:pStyle w:val="CaptionedFigure"/>
      </w:pPr>
      <w:r>
        <w:drawing>
          <wp:inline>
            <wp:extent cx="5334000" cy="1762064"/>
            <wp:effectExtent b="0" l="0" r="0" t="0"/>
            <wp:docPr descr="" title="" id="21" name="Picture"/>
            <a:graphic>
              <a:graphicData uri="http://schemas.openxmlformats.org/drawingml/2006/picture">
                <pic:pic>
                  <pic:nvPicPr>
                    <pic:cNvPr descr="figures/directionality_results.png" id="22" name="Picture"/>
                    <pic:cNvPicPr>
                      <a:picLocks noChangeArrowheads="1" noChangeAspect="1"/>
                    </pic:cNvPicPr>
                  </pic:nvPicPr>
                  <pic:blipFill>
                    <a:blip r:embed="rId20"/>
                    <a:stretch>
                      <a:fillRect/>
                    </a:stretch>
                  </pic:blipFill>
                  <pic:spPr bwMode="auto">
                    <a:xfrm>
                      <a:off x="0" y="0"/>
                      <a:ext cx="5334000" cy="1762064"/>
                    </a:xfrm>
                    <a:prstGeom prst="rect">
                      <a:avLst/>
                    </a:prstGeom>
                    <a:noFill/>
                    <a:ln w="9525">
                      <a:noFill/>
                      <a:headEnd/>
                      <a:tailEnd/>
                    </a:ln>
                  </pic:spPr>
                </pic:pic>
              </a:graphicData>
            </a:graphic>
          </wp:inline>
        </w:drawing>
      </w:r>
    </w:p>
    <w:p>
      <w:pPr>
        <w:pStyle w:val="ImageCaption"/>
      </w:pPr>
      <w:r>
        <w:t xml:space="preserve">Directional effects of future transplantation. (a) Cosmos Policy reports the donor-minus-self projection difference</w:t>
      </w:r>
      <w:r>
        <w:t xml:space="preserve"> </w:t>
      </w:r>
      <m:oMath>
        <m:r>
          <m:rPr>
            <m:sty m:val="p"/>
          </m:rPr>
          <m:t>Δ</m:t>
        </m:r>
      </m:oMath>
      <w:r>
        <w:t xml:space="preserve">; effects are large at first-query states and small at later sampled states. (b) Cosmos 3 reports raw donor projection</w:t>
      </w:r>
      <w:r>
        <w:t xml:space="preserve"> </w:t>
      </w:r>
      <m:oMath>
        <m:r>
          <m:t>π</m:t>
        </m:r>
      </m:oMath>
      <w:r>
        <w:t xml:space="preserve">; 0 reproduces the recipient and 1 reproduces the donor. Intervals are 95% cluster-bootstrap confidence intervals where available.</w:t>
      </w:r>
    </w:p>
    <w:bookmarkEnd w:id="23"/>
    <w:p>
      <w:pPr>
        <w:pStyle w:val="BodyText"/>
      </w:pPr>
      <w:r>
        <w:t xml:space="preserve">Neither model’s selected branch pairs show stable differences in binary task success. The evidence therefore concerns donor-directed action shifts and one-chunk simulator endpoints, not closed-loop task completion.</w:t>
      </w:r>
    </w:p>
    <w:bookmarkEnd w:id="24"/>
    <w:bookmarkEnd w:id="25"/>
    <w:bookmarkStart w:id="30" w:name="sec:content"/>
    <w:p>
      <w:pPr>
        <w:pStyle w:val="Heading2"/>
      </w:pPr>
      <w:r>
        <w:t xml:space="preserve">Cosmos Policy effects track camera-visible robot motion</w:t>
      </w:r>
    </w:p>
    <w:p>
      <w:pPr>
        <w:pStyle w:val="FirstParagraph"/>
      </w:pPr>
      <w:r>
        <w:t xml:space="preserve">Replacing one future component at a time reveals a large difference across modalities (Figure </w:t>
      </w:r>
      <w:hyperlink w:anchor="fig:content">
        <w:r>
          <w:rPr>
            <w:rStyle w:val="Hyperlink"/>
          </w:rPr>
          <w:t xml:space="preserve">3</w:t>
        </w:r>
      </w:hyperlink>
      <w:r>
        <w:t xml:space="preserve">a). Wrist-camera futures produce a mean action effect of</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primary-camera futures produce</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and future proprioception produces</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The strongest effect therefore comes from the view that most closely tracks the manipulator, while the proprioception interval includes zero.</w:t>
      </w:r>
    </w:p>
    <w:p>
      <w:pPr>
        <w:pStyle w:val="BodyText"/>
      </w:pPr>
      <w:r>
        <w:t xml:space="preserve">In the factorized</w:t>
      </w:r>
      <w:r>
        <w:t xml:space="preserve"> </w:t>
      </w:r>
      <m:oMath>
        <m:r>
          <m:t>2</m:t>
        </m:r>
        <m:r>
          <m:rPr>
            <m:sty m:val="p"/>
          </m:rPr>
          <m:t>×</m:t>
        </m:r>
        <m:r>
          <m:t>2</m:t>
        </m:r>
      </m:oMath>
      <w:r>
        <w:t xml:space="preserve"> </w:t>
      </w:r>
      <w:r>
        <w:t xml:space="preserve">experiment, changing object state while averaging over robot state produces a mean action effect of</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and endpoint effect of</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These near-zero effects occur even though the decoder reliably identifies the rendered conditions. The result isolates the object-state main effect; because the robot-state main effect was not reported, it does not by itself establish a robot-versus-object contrast. The re-rendered videos may also lie outside the distribution of futures normally generated by the policy.</w:t>
      </w:r>
    </w:p>
    <w:p>
      <w:pPr>
        <w:pStyle w:val="BodyText"/>
      </w:pPr>
      <w:r>
        <w:t xml:space="preserve">The four exploratory natural pairs show the same qualitative pattern without re-rendering. Futures that differ primarily in robot motion produce a mean action effect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effect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Pairs that differ primarily in object state produce means of</w:t>
      </w:r>
      <w:r>
        <w:t xml:space="preserve"> </w:t>
      </w:r>
      <m:oMath>
        <m:r>
          <m:t>0.021</m:t>
        </m:r>
      </m:oMath>
      <w:r>
        <w:t xml:space="preserve"> </w:t>
      </w:r>
      <w:r>
        <w:t xml:space="preserve">for both action and goal-endpoint projection, with intervals that include zero. Because this analysis contains only four states and incomplete interval reporting for the object pairs, it should be treated as suggestive.</w:t>
      </w:r>
    </w:p>
    <w:bookmarkStart w:id="29" w:name="fig:content"/>
    <w:p>
      <w:pPr>
        <w:pStyle w:val="CaptionedFigure"/>
      </w:pPr>
      <w:r>
        <w:drawing>
          <wp:inline>
            <wp:extent cx="5334000" cy="1709572"/>
            <wp:effectExtent b="0" l="0" r="0" t="0"/>
            <wp:docPr descr="" title="" id="27" name="Picture"/>
            <a:graphic>
              <a:graphicData uri="http://schemas.openxmlformats.org/drawingml/2006/picture">
                <pic:pic>
                  <pic:nvPicPr>
                    <pic:cNvPr descr="figures/content_results.png" id="28" name="Picture"/>
                    <pic:cNvPicPr>
                      <a:picLocks noChangeArrowheads="1" noChangeAspect="1"/>
                    </pic:cNvPicPr>
                  </pic:nvPicPr>
                  <pic:blipFill>
                    <a:blip r:embed="rId26"/>
                    <a:stretch>
                      <a:fillRect/>
                    </a:stretch>
                  </pic:blipFill>
                  <pic:spPr bwMode="auto">
                    <a:xfrm>
                      <a:off x="0" y="0"/>
                      <a:ext cx="5334000" cy="1709572"/>
                    </a:xfrm>
                    <a:prstGeom prst="rect">
                      <a:avLst/>
                    </a:prstGeom>
                    <a:noFill/>
                    <a:ln w="9525">
                      <a:noFill/>
                      <a:headEnd/>
                      <a:tailEnd/>
                    </a:ln>
                  </pic:spPr>
                </pic:pic>
              </a:graphicData>
            </a:graphic>
          </wp:inline>
        </w:drawing>
      </w:r>
    </w:p>
    <w:p>
      <w:pPr>
        <w:pStyle w:val="ImageCaption"/>
      </w:pPr>
      <w:r>
        <w:t xml:space="preserve">Cosmos Policy content interventions. (a) Action effects from replacing each future modality. (b) Estimated object-state main effect in the factorized intervention. (c) Action and robot-endpoint effects in four exploratory natural robot-motion pairs. Bars show 95% cluster-bootstrap confidence intervals.</w:t>
      </w:r>
    </w:p>
    <w:bookmarkEnd w:id="29"/>
    <w:p>
      <w:pPr>
        <w:pStyle w:val="BodyText"/>
      </w:pPr>
      <w:r>
        <w:t xml:space="preserve">Together, the camera interventions and natural pairs are consistent with sensitivity to camera-visible robot motion at the sampled Cosmos Policy states. They do not show that the policy generally ignores object consequences or localize a latent robot-motion representation.</w:t>
      </w:r>
    </w:p>
    <w:bookmarkEnd w:id="30"/>
    <w:bookmarkStart w:id="35" w:name="sec:pathway"/>
    <w:p>
      <w:pPr>
        <w:pStyle w:val="Heading2"/>
      </w:pPr>
      <w:r>
        <w:t xml:space="preserve">Future-token keys and values contribute to the Cosmos 3 action shift</w:t>
      </w:r>
    </w:p>
    <w:p>
      <w:pPr>
        <w:pStyle w:val="FirstParagraph"/>
      </w:pPr>
      <w:r>
        <w:t xml:space="preserve">On four calibration states, donor futures produce a mean action projection of</w:t>
      </w:r>
      <w:r>
        <w:t xml:space="preserve"> </w:t>
      </w:r>
      <m:oMath>
        <m:r>
          <m:t>0.981</m:t>
        </m:r>
      </m:oMath>
      <w:r>
        <w:t xml:space="preserve"> </w:t>
      </w:r>
      <w:r>
        <w:t xml:space="preserve">before key–value replacement. Replacing future-token keys and values at layer 16 reduces projection by</w:t>
      </w:r>
      <w:r>
        <w:t xml:space="preserve"> </w:t>
      </w:r>
      <m:oMath>
        <m:r>
          <m:t>0.346</m:t>
        </m:r>
      </m:oMath>
      <w:r>
        <w:t xml:space="preserve"> </w:t>
      </w:r>
      <w:r>
        <w:t xml:space="preserve">units (</w:t>
      </w:r>
      <m:oMath>
        <m:r>
          <m:rPr>
            <m:sty m:val="p"/>
          </m:rPr>
          <m:t>[</m:t>
        </m:r>
        <m:r>
          <m:t>0.192</m:t>
        </m:r>
        <m:r>
          <m:rPr>
            <m:sty m:val="p"/>
          </m:rPr>
          <m:t>,</m:t>
        </m:r>
        <m:r>
          <m:t>0.501</m:t>
        </m:r>
        <m:r>
          <m:rPr>
            <m:sty m:val="p"/>
          </m:rPr>
          <m:t>]</m:t>
        </m:r>
      </m:oMath>
      <w:r>
        <w:t xml:space="preserve">). Replacement at all direct future-to-action attention reads reduces projection by</w:t>
      </w:r>
      <w:r>
        <w:t xml:space="preserve"> </w:t>
      </w:r>
      <m:oMath>
        <m:r>
          <m:t>0.842</m:t>
        </m:r>
      </m:oMath>
      <w:r>
        <w:t xml:space="preserve"> </w:t>
      </w:r>
      <w:r>
        <w:t xml:space="preserve">(</w:t>
      </w:r>
      <m:oMath>
        <m:r>
          <m:rPr>
            <m:sty m:val="p"/>
          </m:rPr>
          <m:t>[</m:t>
        </m:r>
        <m:r>
          <m:t>0.766</m:t>
        </m:r>
        <m:r>
          <m:rPr>
            <m:sty m:val="p"/>
          </m:rPr>
          <m:t>,</m:t>
        </m:r>
        <m:r>
          <m:t>0.910</m:t>
        </m:r>
        <m:r>
          <m:rPr>
            <m:sty m:val="p"/>
          </m:rPr>
          <m:t>]</m:t>
        </m:r>
      </m:oMath>
      <w:r>
        <w:t xml:space="preserve">), with a positive reduction in all four states. Extending the replacement to future-to-current-video reads reduces projection by</w:t>
      </w:r>
      <w:r>
        <w:t xml:space="preserve"> </w:t>
      </w:r>
      <m:oMath>
        <m:r>
          <m:t>0.995</m:t>
        </m:r>
      </m:oMath>
      <w:r>
        <w:t xml:space="preserve"> </w:t>
      </w:r>
      <w:r>
        <w:t xml:space="preserve">(</w:t>
      </w:r>
      <m:oMath>
        <m:r>
          <m:rPr>
            <m:sty m:val="p"/>
          </m:rPr>
          <m:t>[</m:t>
        </m:r>
        <m:r>
          <m:t>0.976</m:t>
        </m:r>
        <m:r>
          <m:rPr>
            <m:sty m:val="p"/>
          </m:rPr>
          <m:t>,</m:t>
        </m:r>
        <m:r>
          <m:t>1.013</m:t>
        </m:r>
        <m:r>
          <m:rPr>
            <m:sty m:val="p"/>
          </m:rPr>
          <m:t>]</m:t>
        </m:r>
      </m:oMath>
      <w:r>
        <w:t xml:space="preserve">). Record, replay, and same-run replacement controls reproduce the original actions exactly.</w:t>
      </w:r>
    </w:p>
    <w:p>
      <w:pPr>
        <w:pStyle w:val="BodyText"/>
      </w:pPr>
      <w:r>
        <w:t xml:space="preserve">The frozen interventions produce the same ordering on the held-out Banana state (Figure </w:t>
      </w:r>
      <w:hyperlink w:anchor="fig:pathway">
        <w:r>
          <w:rPr>
            <w:rStyle w:val="Hyperlink"/>
          </w:rPr>
          <w:t xml:space="preserve">4</w:t>
        </w:r>
      </w:hyperlink>
      <w:r>
        <w:t xml:space="preserve">b). For a model-predicted donor future, action projection falls from</w:t>
      </w:r>
      <w:r>
        <w:t xml:space="preserve"> </w:t>
      </w:r>
      <m:oMath>
        <m:r>
          <m:t>0.900</m:t>
        </m:r>
      </m:oMath>
      <w:r>
        <w:t xml:space="preserve"> </w:t>
      </w:r>
      <w:r>
        <w:t xml:space="preserve">to</w:t>
      </w:r>
      <w:r>
        <w:t xml:space="preserve"> </w:t>
      </w:r>
      <m:oMath>
        <m:r>
          <m:t>0.749</m:t>
        </m:r>
      </m:oMath>
      <w:r>
        <w:t xml:space="preserve"> </w:t>
      </w:r>
      <w:r>
        <w:t xml:space="preserve">after layer-16 replacement,</w:t>
      </w:r>
      <w:r>
        <w:t xml:space="preserve"> </w:t>
      </w:r>
      <m:oMath>
        <m:r>
          <m:t>0.122</m:t>
        </m:r>
      </m:oMath>
      <w:r>
        <w:t xml:space="preserve"> </w:t>
      </w:r>
      <w:r>
        <w:t xml:space="preserve">after direct replacement, and</w:t>
      </w:r>
      <w:r>
        <w:t xml:space="preserve"> </w:t>
      </w:r>
      <m:oMath>
        <m:r>
          <m:rPr>
            <m:sty m:val="p"/>
          </m:rPr>
          <m:t>−</m:t>
        </m:r>
        <m:r>
          <m:t>0.012</m:t>
        </m:r>
      </m:oMath>
      <w:r>
        <w:t xml:space="preserve"> </w:t>
      </w:r>
      <w:r>
        <w:t xml:space="preserve">after the extended replacement. For a future encoded from an executed donor branch, the corresponding values are</w:t>
      </w:r>
      <w:r>
        <w:t xml:space="preserve"> </w:t>
      </w:r>
      <m:oMath>
        <m:r>
          <m:t>1.577</m:t>
        </m:r>
      </m:oMath>
      <w:r>
        <w:t xml:space="preserve">,</w:t>
      </w:r>
      <w:r>
        <w:t xml:space="preserve"> </w:t>
      </w:r>
      <m:oMath>
        <m:r>
          <m:t>1.326</m:t>
        </m:r>
      </m:oMath>
      <w:r>
        <w:t xml:space="preserve">,</w:t>
      </w:r>
      <w:r>
        <w:t xml:space="preserve"> </w:t>
      </w:r>
      <m:oMath>
        <m:r>
          <m:t>0.382</m:t>
        </m:r>
      </m:oMath>
      <w:r>
        <w:t xml:space="preserve">, and</w:t>
      </w:r>
      <w:r>
        <w:t xml:space="preserve"> </w:t>
      </w:r>
      <m:oMath>
        <m:r>
          <m:rPr>
            <m:sty m:val="p"/>
          </m:rPr>
          <m:t>−</m:t>
        </m:r>
        <m:r>
          <m:t>0.012</m:t>
        </m:r>
      </m:oMath>
      <w:r>
        <w:t xml:space="preserve">.</w:t>
      </w:r>
    </w:p>
    <w:bookmarkStart w:id="34" w:name="fig:pathway"/>
    <w:p>
      <w:pPr>
        <w:pStyle w:val="CaptionedFigure"/>
      </w:pPr>
      <w:r>
        <w:drawing>
          <wp:inline>
            <wp:extent cx="5334000" cy="1762753"/>
            <wp:effectExtent b="0" l="0" r="0" t="0"/>
            <wp:docPr descr="" title="" id="32" name="Picture"/>
            <a:graphic>
              <a:graphicData uri="http://schemas.openxmlformats.org/drawingml/2006/picture">
                <pic:pic>
                  <pic:nvPicPr>
                    <pic:cNvPr descr="figures/pathway_results.png" id="33" name="Picture"/>
                    <pic:cNvPicPr>
                      <a:picLocks noChangeArrowheads="1" noChangeAspect="1"/>
                    </pic:cNvPicPr>
                  </pic:nvPicPr>
                  <pic:blipFill>
                    <a:blip r:embed="rId31"/>
                    <a:stretch>
                      <a:fillRect/>
                    </a:stretch>
                  </pic:blipFill>
                  <pic:spPr bwMode="auto">
                    <a:xfrm>
                      <a:off x="0" y="0"/>
                      <a:ext cx="5334000" cy="1762753"/>
                    </a:xfrm>
                    <a:prstGeom prst="rect">
                      <a:avLst/>
                    </a:prstGeom>
                    <a:noFill/>
                    <a:ln w="9525">
                      <a:noFill/>
                      <a:headEnd/>
                      <a:tailEnd/>
                    </a:ln>
                  </pic:spPr>
                </pic:pic>
              </a:graphicData>
            </a:graphic>
          </wp:inline>
        </w:drawing>
      </w:r>
    </w:p>
    <w:p>
      <w:pPr>
        <w:pStyle w:val="ImageCaption"/>
      </w:pPr>
      <w:r>
        <w:t xml:space="preserve">Future-token key–value replacement in Cosmos 3. (a) Reduction in donor-action projection across four calibration states. (b) Action projection on the held-out Banana state under the frozen replacement schemes.</w:t>
      </w:r>
    </w:p>
    <w:bookmarkEnd w:id="34"/>
    <w:p>
      <w:pPr>
        <w:pStyle w:val="BodyText"/>
      </w:pPr>
      <w:r>
        <w:t xml:space="preserve">Endpoint effects are less consistent. For the predicted future, direct replacement changes endpoint projection from</w:t>
      </w:r>
      <w:r>
        <w:t xml:space="preserve"> </w:t>
      </w:r>
      <m:oMath>
        <m:r>
          <m:t>0.973</m:t>
        </m:r>
      </m:oMath>
      <w:r>
        <w:t xml:space="preserve"> </w:t>
      </w:r>
      <w:r>
        <w:t xml:space="preserve">to</w:t>
      </w:r>
      <w:r>
        <w:t xml:space="preserve"> </w:t>
      </w:r>
      <m:oMath>
        <m:r>
          <m:t>0.242</m:t>
        </m:r>
      </m:oMath>
      <w:r>
        <w:t xml:space="preserve">; for the executed-branch future, it changes endpoint projection only from</w:t>
      </w:r>
      <w:r>
        <w:t xml:space="preserve"> </w:t>
      </w:r>
      <m:oMath>
        <m:r>
          <m:t>1.019</m:t>
        </m:r>
      </m:oMath>
      <w:r>
        <w:t xml:space="preserve"> </w:t>
      </w:r>
      <w:r>
        <w:t xml:space="preserve">to</w:t>
      </w:r>
      <w:r>
        <w:t xml:space="preserve"> </w:t>
      </w:r>
      <m:oMath>
        <m:r>
          <m:t>0.976</m:t>
        </m:r>
      </m:oMath>
      <w:r>
        <w:t xml:space="preserve"> </w:t>
      </w:r>
      <w:r>
        <w:t xml:space="preserve">despite a large action effect. The intervention therefore identifies future-token attention activations that contribute to the donor-directed action shift, but it does not establish what they encode or whether they are the only route from future tokens to action.</w:t>
      </w:r>
    </w:p>
    <w:bookmarkEnd w:id="35"/>
    <w:bookmarkEnd w:id="36"/>
    <w:bookmarkStart w:id="39" w:name="sec:discussion"/>
    <w:p>
      <w:pPr>
        <w:pStyle w:val="Heading1"/>
      </w:pPr>
      <w:r>
        <w:t xml:space="preserve">Discussion and Limitations</w:t>
      </w:r>
    </w:p>
    <w:p>
      <w:pPr>
        <w:pStyle w:val="FirstParagraph"/>
      </w:pPr>
      <w:r>
        <w:t xml:space="preserve">Future transplantation provides stronger evidence than corruption alone because it asks whether an action change follows the content of a specific alternative future. Positive donor projections in both checkpoints show that future representations do more than occupy behaviorally sensitive positions: selecting a different coherent future predictably changes the direction of the action.</w:t>
      </w:r>
    </w:p>
    <w:p>
      <w:pPr>
        <w:pStyle w:val="BodyText"/>
      </w:pPr>
      <w:r>
        <w:t xml:space="preserve">In Cosmos Policy, the camera and natural-pair results are consistent with an inverse-dynamics-like use of visible robot motion. The action follows a displayed robot future, whereas future proprioception and isolated object-state changes have near-zero effects. This is not evidence that predicted object consequences never matter. The synthetic intervention tests one restricted object-state contrast, and the natural analysis contains only four states.</w:t>
      </w:r>
    </w:p>
    <w:p>
      <w:pPr>
        <w:pStyle w:val="BodyText"/>
      </w:pPr>
      <w:r>
        <w:t xml:space="preserve">The content and pathway results also do not form one mechanism. Cosmos Policy identifies future changes associated with the action shift, while the Cosmos 3 intervention identifies attention activations that contribute to its shift. Because these experiments use different models, we do not show that camera-visible robot-motion information passes through the replaced Cosmos 3 keys and values. More broadly, neither experiment tests candidate generation, outcome comparison, or value-based choice. The results therefore establish future-dependent action generation, not planning.</w:t>
      </w:r>
    </w:p>
    <w:bookmarkStart w:id="37" w:name="limitations."/>
    <w:p>
      <w:pPr>
        <w:pStyle w:val="Heading4"/>
      </w:pPr>
      <w:r>
        <w:t xml:space="preserve">Limitations.</w:t>
      </w:r>
    </w:p>
    <w:p>
      <w:pPr>
        <w:pStyle w:val="FirstParagraph"/>
      </w:pPr>
      <w:r>
        <w:t xml:space="preserve">The evidence comes from a limited number of independent states. Cosmos Policy’s largest effects occur at one first-query state from each of ten tasks; later estimates are much smaller, and decision point is confounded with saved state. Cosmos 3 transplantation uses four states, while the held-out key–value test uses one. Additional donors and process launches improve within-state measurement but do not establish generalization across states. We also do not establish effects on task success.</w:t>
      </w:r>
    </w:p>
    <w:p>
      <w:pPr>
        <w:pStyle w:val="BodyText"/>
      </w:pPr>
      <w:r>
        <w:t xml:space="preserve">The content and pathway analyses have further limits. Factorized videos may be outside the policy’s normal future distribution and provide only the object-state main effect. The natural matched-pair analysis falls below its prespecified sample size. On the held-out Cosmos 3 state, key–value replacement does not consistently reduce endpoint effects even when it reduces action projection. These qualifications limit the interpretation to the sampled checkpoints and states.</w:t>
      </w:r>
    </w:p>
    <w:bookmarkEnd w:id="37"/>
    <w:bookmarkStart w:id="38" w:name="broader-impact."/>
    <w:p>
      <w:pPr>
        <w:pStyle w:val="Heading4"/>
      </w:pPr>
      <w:r>
        <w:t xml:space="preserve">Broader impact.</w:t>
      </w:r>
    </w:p>
    <w:p>
      <w:pPr>
        <w:pStyle w:val="FirstParagraph"/>
      </w:pPr>
      <w:r>
        <w:t xml:space="preserve">Future transplantation may help audit whether a robot policy’s predictions affect its actions, but the same intervention could redirect behavior. Any use outside simulation would require broader state coverage, physical safety constraints, and independent action monitoring.</w:t>
      </w:r>
    </w:p>
    <w:bookmarkEnd w:id="38"/>
    <w:bookmarkEnd w:id="39"/>
    <w:bookmarkStart w:id="40" w:name="conclusion"/>
    <w:p>
      <w:pPr>
        <w:pStyle w:val="Heading1"/>
      </w:pPr>
      <w:r>
        <w:t xml:space="preserve">Conclusion</w:t>
      </w:r>
    </w:p>
    <w:p>
      <w:pPr>
        <w:pStyle w:val="FirstParagraph"/>
      </w:pPr>
      <w:r>
        <w:t xml:space="preserve">Future transplantation provides donor-specific evidence that predicted futures influence actions in both WAM checkpoints. Connecting camera-visible robot motion to the future-token key–value pathway within one model, across more states and task outcomes, remains an open problem.</w:t>
      </w:r>
    </w:p>
    <w:bookmarkEnd w:id="40"/>
    <w:bookmarkStart w:id="41"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Endpoint vectors concatenate goal-relevant simulator coordinates with the official nine-dimensional proprioceptive endpoint. The prespecified design includes ten tasks, three decision points, eight unmodified policy runs per state, one reciprocal donor pair per state, and three future-noise draws per direction. Confidence intervals use 10,000 bootstrap resamples of simulator states.</w:t>
      </w:r>
    </w:p>
    <w:p>
      <w:pPr>
        <w:pStyle w:val="BodyText"/>
      </w:pPr>
      <w:r>
        <w:t xml:space="preserve">The Cosmos 3 experiments use checkpoint revision</w:t>
      </w:r>
      <w:r>
        <w:t xml:space="preserve"> </w:t>
      </w:r>
      <w:r>
        <w:rPr>
          <w:rStyle w:val="VerbatimChar"/>
        </w:rPr>
        <w:t xml:space="preserve">2b9f9517</w:t>
      </w:r>
      <w:r>
        <w:t xml:space="preserve">. The public report and checkpoint describe a diffusion generator with 36 transformer layers, four diffusion steps, and 32-action chunks of absolute joint positions</w:t>
      </w:r>
      <w:r>
        <w:t xml:space="preserve"> </w:t>
      </w:r>
      <w:r>
        <w:t xml:space="preserve">(NVIDIA 2026a, 2026b)</w:t>
      </w:r>
      <w:r>
        <w:t xml:space="preserve">. For each endpoint evaluation, we reconstruct the simulator, restore the saved state, and replay the same observation prefix. Separate controls check token layout, sampler wrapping, cache recording and replay, and same-run replacement. Sentinel values verify that interventions to future representations never write to the action-token slice directly. Repeating the held-out action intervention in five independently launched processes yields bitwise-identical results; these repetitions test numerical stability, not generalization.</w:t>
      </w:r>
    </w:p>
    <w:p>
      <w:pPr>
        <w:pStyle w:val="BodyText"/>
      </w:pPr>
      <w:r>
        <w:t xml:space="preserve">The supplied artifact contains the aggregate values used for the figures, but not the full seed list, intervention logs, code, repository hashes, container digests, per-run wall-clock times, or aggregate compute. These items must be added to a complete reproduction package.</w:t>
      </w:r>
    </w:p>
    <w:bookmarkEnd w:id="41"/>
    <w:bookmarkStart w:id="42" w:name="app:additional"/>
    <w:p>
      <w:pPr>
        <w:pStyle w:val="Heading1"/>
      </w:pPr>
      <w:r>
        <w:t xml:space="preserve">Additional Results and Exclusions</w:t>
      </w:r>
    </w:p>
    <w:p>
      <w:pPr>
        <w:pStyle w:val="FirstParagraph"/>
      </w:pPr>
      <w:r>
        <w:t xml:space="preserve">Across all 30 Cosmos Policy states, the mean donor-minus-self effect is</w:t>
      </w:r>
      <w:r>
        <w:t xml:space="preserve"> </w:t>
      </w:r>
      <m:oMath>
        <m:r>
          <m:t>0.186</m:t>
        </m:r>
      </m:oMath>
      <w:r>
        <w:t xml:space="preserve"> </w:t>
      </w:r>
      <w:r>
        <w:t xml:space="preserve">for actions and</w:t>
      </w:r>
      <w:r>
        <w:t xml:space="preserve"> </w:t>
      </w:r>
      <m:oMath>
        <m:r>
          <m:t>0.194</m:t>
        </m:r>
      </m:oMath>
      <w:r>
        <w:t xml:space="preserve"> </w:t>
      </w:r>
      <w:r>
        <w:t xml:space="preserve">for endpoints. Because the three decision points may be nested within task trajectories, the first-query analysis is the cleaner confirmatory result. For Cosmos 3, action-space nearest-donor accuracy is 12/12 for both future sources. Endpoint nearest-donor accuracy is 10/12 for predicted futures and 11/12 for executed-branch futures.</w:t>
      </w:r>
    </w:p>
    <w:p>
      <w:pPr>
        <w:pStyle w:val="BodyText"/>
      </w:pPr>
      <w:r>
        <w:t xml:space="preserve">We separately evaluated six states in RoboCasa</w:t>
      </w:r>
      <w:r>
        <w:t xml:space="preserve"> </w:t>
      </w:r>
      <w:r>
        <w:t xml:space="preserve">(Nasiriany et al. 2024)</w:t>
      </w:r>
      <w:r>
        <w:t xml:space="preserve">. This exploratory experiment is not pooled with LIBERO. The donor-minus-self endpoint effect is</w:t>
      </w:r>
      <w:r>
        <w:t xml:space="preserve"> </w:t>
      </w:r>
      <m:oMath>
        <m:r>
          <m:t>0.0287</m:t>
        </m:r>
      </m:oMath>
      <w:r>
        <w:t xml:space="preserve"> </w:t>
      </w:r>
      <w:r>
        <w:t xml:space="preserve">(95% CI</w:t>
      </w:r>
      <w:r>
        <w:t xml:space="preserve"> </w:t>
      </w:r>
      <m:oMath>
        <m:r>
          <m:rPr>
            <m:sty m:val="p"/>
          </m:rPr>
          <m:t>[</m:t>
        </m:r>
        <m:r>
          <m:t>0.0101</m:t>
        </m:r>
        <m:r>
          <m:rPr>
            <m:sty m:val="p"/>
          </m:rPr>
          <m:t>,</m:t>
        </m:r>
        <m:r>
          <m:t>0.0492</m:t>
        </m:r>
        <m:r>
          <m:rPr>
            <m:sty m:val="p"/>
          </m:rPr>
          <m:t>]</m:t>
        </m:r>
      </m:oMath>
      <w:r>
        <w:t xml:space="preserve">) and is positive in all six states. The action effect is smaller and does not reliably exceed the Gaussian control. An unfinished 20-state Cosmos 3 study is excluded from all reported estimates.</w:t>
      </w:r>
    </w:p>
    <w:p>
      <w:pPr>
        <w:pStyle w:val="BodyText"/>
      </w:pPr>
      <w:r>
        <w:t xml:space="preserve">The original draft also reported a natural control whose construction was not documented and a Cosmos Policy attention ablation whose gating rule, independent-state count, confidence intervals, and endpoint effects were unavailable. We exclude both from the revised paper rather than treat them as interpretable evidence.</w:t>
      </w:r>
    </w:p>
    <w:bookmarkEnd w:id="42"/>
    <w:bookmarkStart w:id="93" w:name="neurips-paper-checklist"/>
    <w:p>
      <w:pPr>
        <w:pStyle w:val="Heading1"/>
      </w:pPr>
      <w:r>
        <w:t xml:space="preserve">NeurIPS Paper Checklist</w:t>
      </w:r>
    </w:p>
    <w:p>
      <w:pPr>
        <w:numPr>
          <w:ilvl w:val="0"/>
          <w:numId w:val="1001"/>
        </w:numPr>
      </w:pPr>
      <w:r>
        <w:rPr>
          <w:b/>
          <w:bCs/>
        </w:rPr>
        <w:t xml:space="preserve">Claims</w:t>
      </w:r>
    </w:p>
    <w:p>
      <w:pPr>
        <w:numPr>
          <w:ilvl w:val="0"/>
          <w:numId w:val="1001"/>
        </w:numPr>
      </w:pPr>
      <w:r>
        <w:t xml:space="preserve">Question: Do the main claims made in the abstract and introduction accurately reflect the paper’s contributions and scope?</w:t>
      </w:r>
    </w:p>
    <w:p>
      <w:pPr>
        <w:numPr>
          <w:ilvl w:val="0"/>
          <w:numId w:val="1001"/>
        </w:numPr>
      </w:pPr>
      <w:r>
        <w:t xml:space="preserve">Answer:</w:t>
      </w:r>
    </w:p>
    <w:p>
      <w:pPr>
        <w:numPr>
          <w:ilvl w:val="0"/>
          <w:numId w:val="1001"/>
        </w:numPr>
      </w:pPr>
      <w:r>
        <w:t xml:space="preserve">Justification: The abstract, Introduction, Results, and Discussion state the future-transplantation result, its variation across decision points, and the limits on claims about planning and task success.</w:t>
      </w:r>
    </w:p>
    <w:p>
      <w:pPr>
        <w:numPr>
          <w:ilvl w:val="0"/>
          <w:numId w:val="1001"/>
        </w:numPr>
      </w:pPr>
      <w:r>
        <w:t xml:space="preserve">Guidelines:</w:t>
      </w:r>
    </w:p>
    <w:p>
      <w:pPr>
        <w:numPr>
          <w:ilvl w:val="1"/>
          <w:numId w:val="1002"/>
        </w:numPr>
      </w:pPr>
      <w:r>
        <w:t xml:space="preserve">The answer means that the abstract and introduction do not include the claims made in the paper.</w:t>
      </w:r>
    </w:p>
    <w:p>
      <w:pPr>
        <w:numPr>
          <w:ilvl w:val="1"/>
          <w:numId w:val="1002"/>
        </w:numPr>
      </w:pPr>
      <w:r>
        <w:t xml:space="preserve">The abstract and/or introduction should clearly state the claims made, including the contributions made in the paper and important assumptions and limitations. A or answer to this question will not be perceived well by the reviewers.</w:t>
      </w:r>
    </w:p>
    <w:p>
      <w:pPr>
        <w:numPr>
          <w:ilvl w:val="1"/>
          <w:numId w:val="1002"/>
        </w:numPr>
      </w:pPr>
      <w:r>
        <w:t xml:space="preserve">The claims made should match theoretical and experimental results, and reflect how much the results can be expected to generalize to other settings.</w:t>
      </w:r>
    </w:p>
    <w:p>
      <w:pPr>
        <w:numPr>
          <w:ilvl w:val="1"/>
          <w:numId w:val="1002"/>
        </w:numPr>
      </w:pPr>
      <w:r>
        <w:t xml:space="preserve">It is fine to include aspirational goals as motivation as long as it is clear that these goals are not attained by the paper.</w:t>
      </w:r>
    </w:p>
    <w:p>
      <w:pPr>
        <w:numPr>
          <w:ilvl w:val="0"/>
          <w:numId w:val="1001"/>
        </w:numPr>
      </w:pPr>
      <w:r>
        <w:rPr>
          <w:b/>
          <w:bCs/>
        </w:rPr>
        <w:t xml:space="preserve">Limitations</w:t>
      </w:r>
    </w:p>
    <w:p>
      <w:pPr>
        <w:numPr>
          <w:ilvl w:val="0"/>
          <w:numId w:val="1001"/>
        </w:numPr>
      </w:pPr>
      <w:r>
        <w:t xml:space="preserve">Question: Does the paper discuss the limitations of the work performed by the authors?</w:t>
      </w:r>
    </w:p>
    <w:p>
      <w:pPr>
        <w:numPr>
          <w:ilvl w:val="0"/>
          <w:numId w:val="1001"/>
        </w:numPr>
      </w:pPr>
      <w:r>
        <w:t xml:space="preserve">Answer:</w:t>
      </w:r>
    </w:p>
    <w:p>
      <w:pPr>
        <w:numPr>
          <w:ilvl w:val="0"/>
          <w:numId w:val="1001"/>
        </w:numPr>
      </w:pPr>
      <w:r>
        <w:t xml:space="preserve">Justification: Result-specific qualifications appear beside the relevant findings, and the Discussion and Limitations section addresses model and state coverage, the later-state comparison, the factorized object intervention, the internal replacement experiment, and the absence of task-success results.</w:t>
      </w:r>
    </w:p>
    <w:p>
      <w:pPr>
        <w:numPr>
          <w:ilvl w:val="0"/>
          <w:numId w:val="1001"/>
        </w:numPr>
      </w:pPr>
      <w:r>
        <w:t xml:space="preserve">Guidelines:</w:t>
      </w:r>
    </w:p>
    <w:p>
      <w:pPr>
        <w:numPr>
          <w:ilvl w:val="1"/>
          <w:numId w:val="1003"/>
        </w:numPr>
      </w:pPr>
      <w:r>
        <w:t xml:space="preserve">The answer means that the paper has no limitation while the answer means that the paper has limitations, but those are not discussed in the paper.</w:t>
      </w:r>
    </w:p>
    <w:p>
      <w:pPr>
        <w:numPr>
          <w:ilvl w:val="1"/>
          <w:numId w:val="1003"/>
        </w:numPr>
      </w:pPr>
      <w:r>
        <w:t xml:space="preserve">The authors are encouraged to create a separate</w:t>
      </w:r>
      <w:r>
        <w:t xml:space="preserve"> </w:t>
      </w:r>
      <w:r>
        <w:t xml:space="preserve">“Limitations”</w:t>
      </w:r>
      <w:r>
        <w:t xml:space="preserve"> </w:t>
      </w:r>
      <w:r>
        <w:t xml:space="preserve">section in their paper.</w:t>
      </w:r>
    </w:p>
    <w:p>
      <w:pPr>
        <w:numPr>
          <w:ilvl w:val="1"/>
          <w:numId w:val="1003"/>
        </w:numPr>
      </w:pPr>
      <w:r>
        <w:t xml:space="preserve">The paper should point out any strong assumptions and how robust the results are to violations of these assumptions (e.g., independence assumptions, noiseless settings, model well-specification, asymptotic approximations only holding locally). The authors should reflect on how these assumptions might be violated in practice and what the implications would be.</w:t>
      </w:r>
    </w:p>
    <w:p>
      <w:pPr>
        <w:numPr>
          <w:ilvl w:val="1"/>
          <w:numId w:val="1003"/>
        </w:numPr>
      </w:pPr>
      <w:r>
        <w:t xml:space="preserve">The authors should reflect on the scope of the claims made, e.g., if the approach was only tested on a few datasets or with a few runs. In general, empirical results often depend on implicit assumptions, which should be articulated.</w:t>
      </w:r>
    </w:p>
    <w:p>
      <w:pPr>
        <w:numPr>
          <w:ilvl w:val="1"/>
          <w:numId w:val="1003"/>
        </w:numPr>
      </w:pPr>
      <w:r>
        <w:t xml:space="preserve">The authors should reflect on the factors that influence the performance of the approach. For example, a facial recognition algorithm may perform poorly when image resolution is low or images are taken in low lighting. Or a speech-to-text system might not be used reliably to provide closed captions for online lectures because it fails to handle technical jargon.</w:t>
      </w:r>
    </w:p>
    <w:p>
      <w:pPr>
        <w:numPr>
          <w:ilvl w:val="1"/>
          <w:numId w:val="1003"/>
        </w:numPr>
      </w:pPr>
      <w:r>
        <w:t xml:space="preserve">The authors should discuss the computational efficiency of the proposed algorithms and how they scale with dataset size.</w:t>
      </w:r>
    </w:p>
    <w:p>
      <w:pPr>
        <w:numPr>
          <w:ilvl w:val="1"/>
          <w:numId w:val="1003"/>
        </w:numPr>
      </w:pPr>
      <w:r>
        <w:t xml:space="preserve">If applicable, the authors should discuss possible limitations of their approach to address problems of privacy and fairness.</w:t>
      </w:r>
    </w:p>
    <w:p>
      <w:pPr>
        <w:numPr>
          <w:ilvl w:val="1"/>
          <w:numId w:val="1003"/>
        </w:numPr>
      </w:pPr>
      <w:r>
        <w:t xml:space="preserve">While the authors might fear that complete honesty about limitations might be used by reviewers as grounds for rejection, a worse outcome might be that reviewers discover limitations that aren’t acknowledged in the paper. The authors should use their best judgment and recognize that individual actions in favor of transparency play an important role in developing norms that preserve the integrity of the community. Reviewers will be specifically instructed to not penalize honesty concerning limitations.</w:t>
      </w:r>
    </w:p>
    <w:p>
      <w:pPr>
        <w:numPr>
          <w:ilvl w:val="0"/>
          <w:numId w:val="1001"/>
        </w:numPr>
      </w:pPr>
      <w:r>
        <w:rPr>
          <w:b/>
          <w:bCs/>
        </w:rPr>
        <w:t xml:space="preserve">Theory assumptions and proofs</w:t>
      </w:r>
    </w:p>
    <w:p>
      <w:pPr>
        <w:numPr>
          <w:ilvl w:val="0"/>
          <w:numId w:val="1001"/>
        </w:numPr>
      </w:pPr>
      <w:r>
        <w:t xml:space="preserve">Question: For each theoretical result, does the paper provide the full set of assumptions and a complete (and correct) proof?</w:t>
      </w:r>
    </w:p>
    <w:p>
      <w:pPr>
        <w:numPr>
          <w:ilvl w:val="0"/>
          <w:numId w:val="1001"/>
        </w:numPr>
      </w:pPr>
      <w:r>
        <w:t xml:space="preserve">Answer:</w:t>
      </w:r>
    </w:p>
    <w:p>
      <w:pPr>
        <w:numPr>
          <w:ilvl w:val="0"/>
          <w:numId w:val="1001"/>
        </w:numPr>
      </w:pPr>
      <w:r>
        <w:t xml:space="preserve">Justification: The paper reports empirical intervention results and does not claim a theorem or formal proof.</w:t>
      </w:r>
    </w:p>
    <w:p>
      <w:pPr>
        <w:numPr>
          <w:ilvl w:val="0"/>
          <w:numId w:val="1001"/>
        </w:numPr>
      </w:pPr>
      <w:r>
        <w:t xml:space="preserve">Guidelines:</w:t>
      </w:r>
    </w:p>
    <w:p>
      <w:pPr>
        <w:numPr>
          <w:ilvl w:val="1"/>
          <w:numId w:val="1004"/>
        </w:numPr>
      </w:pPr>
      <w:r>
        <w:t xml:space="preserve">The answer means that the paper does not include theoretical results.</w:t>
      </w:r>
    </w:p>
    <w:p>
      <w:pPr>
        <w:numPr>
          <w:ilvl w:val="1"/>
          <w:numId w:val="1004"/>
        </w:numPr>
      </w:pPr>
      <w:r>
        <w:t xml:space="preserve">All the theorems, formulas, and proofs in the paper should be numbered and cross-referenced.</w:t>
      </w:r>
    </w:p>
    <w:p>
      <w:pPr>
        <w:numPr>
          <w:ilvl w:val="1"/>
          <w:numId w:val="1004"/>
        </w:numPr>
      </w:pPr>
      <w:r>
        <w:t xml:space="preserve">All assumptions should be clearly stated or referenced in the statement of any theorems.</w:t>
      </w:r>
    </w:p>
    <w:p>
      <w:pPr>
        <w:numPr>
          <w:ilvl w:val="1"/>
          <w:numId w:val="1004"/>
        </w:numPr>
      </w:pPr>
      <w:r>
        <w:t xml:space="preserve">The proofs can either appear in the main paper or the supplemental material, but if they appear in the supplemental material, the authors are encouraged to provide a short proof sketch to provide intuition.</w:t>
      </w:r>
    </w:p>
    <w:p>
      <w:pPr>
        <w:numPr>
          <w:ilvl w:val="1"/>
          <w:numId w:val="1004"/>
        </w:numPr>
      </w:pPr>
      <w:r>
        <w:t xml:space="preserve">Inversely, any informal proof provided in the core of the paper should be complemented by formal proofs provided in appendix or supplemental material.</w:t>
      </w:r>
    </w:p>
    <w:p>
      <w:pPr>
        <w:numPr>
          <w:ilvl w:val="1"/>
          <w:numId w:val="1004"/>
        </w:numPr>
      </w:pPr>
      <w:r>
        <w:t xml:space="preserve">Theorems and Lemmas that the proof relies upon should be properly referenced.</w:t>
      </w:r>
    </w:p>
    <w:p>
      <w:pPr>
        <w:numPr>
          <w:ilvl w:val="0"/>
          <w:numId w:val="1001"/>
        </w:numPr>
      </w:pPr>
      <w:r>
        <w:rPr>
          <w:b/>
          <w:bCs/>
        </w:rPr>
        <w:t xml:space="preserve">Experimental result reproducibility</w:t>
      </w:r>
    </w:p>
    <w:p>
      <w:pPr>
        <w:numPr>
          <w:ilvl w:val="0"/>
          <w:numId w:val="1001"/>
        </w:numPr>
      </w:pPr>
      <w:r>
        <w:t xml:space="preserve">Question: Does the paper fully disclose all the information needed to reproduce the main experimental results of the paper to the extent that it affects the main claims and/or conclusions of the paper (regardless of whether the code and data are provided or not)?</w:t>
      </w:r>
    </w:p>
    <w:p>
      <w:pPr>
        <w:numPr>
          <w:ilvl w:val="0"/>
          <w:numId w:val="1001"/>
        </w:numPr>
      </w:pPr>
      <w:r>
        <w:t xml:space="preserve">Answer:</w:t>
      </w:r>
    </w:p>
    <w:p>
      <w:pPr>
        <w:numPr>
          <w:ilvl w:val="0"/>
          <w:numId w:val="1001"/>
        </w:numPr>
      </w:pPr>
      <w:r>
        <w:t xml:space="preserve">Justification: The Methods, Results, and Appendix A specify the estimands, experimental units, controls, clustering, public checkpoints, and exactness gates. The complete seed list, all repository hashes and container digests, intervention code, and run logs are not yet included.</w:t>
      </w:r>
    </w:p>
    <w:p>
      <w:pPr>
        <w:numPr>
          <w:ilvl w:val="0"/>
          <w:numId w:val="1001"/>
        </w:numPr>
      </w:pPr>
      <w:r>
        <w:t xml:space="preserve">Guidelines:</w:t>
      </w:r>
    </w:p>
    <w:p>
      <w:pPr>
        <w:numPr>
          <w:ilvl w:val="1"/>
          <w:numId w:val="1005"/>
        </w:numPr>
      </w:pPr>
      <w:r>
        <w:t xml:space="preserve">The answer means that the paper does not include experiments.</w:t>
      </w:r>
    </w:p>
    <w:p>
      <w:pPr>
        <w:numPr>
          <w:ilvl w:val="1"/>
          <w:numId w:val="1005"/>
        </w:numPr>
      </w:pPr>
      <w:r>
        <w:t xml:space="preserve">If the paper includes experiments, a answer to this question will not be perceived well by the reviewers: Making the paper reproducible is important, regardless of whether the code and data are provided or not.</w:t>
      </w:r>
    </w:p>
    <w:p>
      <w:pPr>
        <w:numPr>
          <w:ilvl w:val="1"/>
          <w:numId w:val="1005"/>
        </w:numPr>
      </w:pPr>
      <w:r>
        <w:t xml:space="preserve">If the contribution is a dataset and/or model, the authors should describe the steps taken to make their results reproducible or verifiable.</w:t>
      </w:r>
    </w:p>
    <w:p>
      <w:pPr>
        <w:numPr>
          <w:ilvl w:val="1"/>
          <w:numId w:val="1005"/>
        </w:numPr>
      </w:pPr>
      <w:r>
        <w:t xml:space="preserve">Depending on the contribution, reproducibility can be accomplished in various ways. For example, if the contribution is a novel architecture, describing the architecture fully might suffice, or if the contribution is a specific model and empirical evaluation, it may be necessary to either make it possible for others to replicate the model with the same dataset, or provide access to the model. In general. releasing code and data is often one good way to accomplish this, but reproducibility can also be provided via detailed instructions for how to replicate the results, access to a hosted model (e.g., in the case of a large language model), releasing of a model checkpoint, or other means that are appropriate to the research performed.</w:t>
      </w:r>
    </w:p>
    <w:p>
      <w:pPr>
        <w:numPr>
          <w:ilvl w:val="1"/>
          <w:numId w:val="1005"/>
        </w:numPr>
      </w:pPr>
      <w:r>
        <w:t xml:space="preserve">While NeurIPS does not require releasing code, the conference does require all submissions to provide some reasonable avenue for reproducibility, which may depend on the nature of the contribution. For example</w:t>
      </w:r>
    </w:p>
    <w:p>
      <w:pPr>
        <w:numPr>
          <w:ilvl w:val="2"/>
          <w:numId w:val="1006"/>
        </w:numPr>
      </w:pPr>
      <w:r>
        <w:t xml:space="preserve">If the contribution is primarily a new algorithm, the paper should make it clear how to reproduce that algorithm.</w:t>
      </w:r>
    </w:p>
    <w:p>
      <w:pPr>
        <w:numPr>
          <w:ilvl w:val="2"/>
          <w:numId w:val="1006"/>
        </w:numPr>
      </w:pPr>
      <w:r>
        <w:t xml:space="preserve">If the contribution is primarily a new model architecture, the paper should describe the architecture clearly and fully.</w:t>
      </w:r>
    </w:p>
    <w:p>
      <w:pPr>
        <w:numPr>
          <w:ilvl w:val="2"/>
          <w:numId w:val="1006"/>
        </w:numPr>
      </w:pPr>
      <w:r>
        <w:t xml:space="preserve">If the contribution is a new model (e.g., a large language model), then there should either be a way to access this model for reproducing the results or a way to reproduce the model (e.g., with an open-source dataset or instructions for how to construct the dataset).</w:t>
      </w:r>
    </w:p>
    <w:p>
      <w:pPr>
        <w:numPr>
          <w:ilvl w:val="2"/>
          <w:numId w:val="1006"/>
        </w:numPr>
      </w:pPr>
      <w:r>
        <w:t xml:space="preserve">We recognize that reproducibility may be tricky in some cases, in which case authors are welcome to describe the particular way they provide for reproducibility. In the case of closed-source models, it may be that access to the model is limited in some way (e.g., to registered users), but it should be possible for other researchers to have some path to reproducing or verifying the results.</w:t>
      </w:r>
    </w:p>
    <w:p>
      <w:pPr>
        <w:numPr>
          <w:ilvl w:val="0"/>
          <w:numId w:val="1001"/>
        </w:numPr>
      </w:pPr>
      <w:r>
        <w:rPr>
          <w:b/>
          <w:bCs/>
        </w:rPr>
        <w:t xml:space="preserve">Open access to data and code</w:t>
      </w:r>
    </w:p>
    <w:p>
      <w:pPr>
        <w:numPr>
          <w:ilvl w:val="0"/>
          <w:numId w:val="1001"/>
        </w:numPr>
      </w:pPr>
      <w:r>
        <w:t xml:space="preserve">Question: Does the paper provide open access to the data and code, with sufficient instructions to faithfully reproduce the main experimental results, as described in supplemental material?</w:t>
      </w:r>
    </w:p>
    <w:p>
      <w:pPr>
        <w:numPr>
          <w:ilvl w:val="0"/>
          <w:numId w:val="1001"/>
        </w:numPr>
      </w:pPr>
      <w:r>
        <w:t xml:space="preserve">Answer:</w:t>
      </w:r>
    </w:p>
    <w:p>
      <w:pPr>
        <w:numPr>
          <w:ilvl w:val="0"/>
          <w:numId w:val="1001"/>
        </w:numPr>
      </w:pPr>
      <w:r>
        <w:t xml:space="preserve">Justification: The source package includes machine-readable values for the paper figures, but not the intervention code, raw logs, or an anonymous public reproduction artifact.</w:t>
      </w:r>
    </w:p>
    <w:p>
      <w:pPr>
        <w:numPr>
          <w:ilvl w:val="0"/>
          <w:numId w:val="1001"/>
        </w:numPr>
      </w:pPr>
      <w:r>
        <w:t xml:space="preserve">Guidelines:</w:t>
      </w:r>
    </w:p>
    <w:p>
      <w:pPr>
        <w:numPr>
          <w:ilvl w:val="1"/>
          <w:numId w:val="1007"/>
        </w:numPr>
      </w:pPr>
      <w:r>
        <w:t xml:space="preserve">The answer means that paper does not include experiments requiring code.</w:t>
      </w:r>
    </w:p>
    <w:p>
      <w:pPr>
        <w:numPr>
          <w:ilvl w:val="1"/>
          <w:numId w:val="1007"/>
        </w:numPr>
      </w:pPr>
      <w:r>
        <w:t xml:space="preserve">Please see the NeurIPS code and data submission guidelines (</w:t>
      </w:r>
      <w:hyperlink r:id="rId43">
        <w:r>
          <w:rPr>
            <w:rStyle w:val="Hyperlink"/>
          </w:rPr>
          <w:t xml:space="preserve">https://neurips.cc/public/guides/CodeSubmissionPolicy</w:t>
        </w:r>
      </w:hyperlink>
      <w:r>
        <w:t xml:space="preserve">) for more details.</w:t>
      </w:r>
    </w:p>
    <w:p>
      <w:pPr>
        <w:numPr>
          <w:ilvl w:val="1"/>
          <w:numId w:val="1007"/>
        </w:numPr>
      </w:pPr>
      <w:r>
        <w:t xml:space="preserve">While we encourage the release of code and data, we understand that this might not be possible, so is an acceptable answer. Papers cannot be rejected simply for not including code, unless this is central to the contribution (e.g., for a new open-source benchmark).</w:t>
      </w:r>
    </w:p>
    <w:p>
      <w:pPr>
        <w:numPr>
          <w:ilvl w:val="1"/>
          <w:numId w:val="1007"/>
        </w:numPr>
      </w:pPr>
      <w:r>
        <w:t xml:space="preserve">The instructions should contain the exact command and environment needed to run to reproduce the results. See the NeurIPS code and data submission guidelines (</w:t>
      </w:r>
      <w:hyperlink r:id="rId43">
        <w:r>
          <w:rPr>
            <w:rStyle w:val="Hyperlink"/>
          </w:rPr>
          <w:t xml:space="preserve">https://neurips.cc/public/guides/CodeSubmissionPolicy</w:t>
        </w:r>
      </w:hyperlink>
      <w:r>
        <w:t xml:space="preserve">) for more details.</w:t>
      </w:r>
    </w:p>
    <w:p>
      <w:pPr>
        <w:numPr>
          <w:ilvl w:val="1"/>
          <w:numId w:val="1007"/>
        </w:numPr>
      </w:pPr>
      <w:r>
        <w:t xml:space="preserve">The authors should provide instructions on data access and preparation, including how to access the raw data, preprocessed data, intermediate data, and generated data, etc.</w:t>
      </w:r>
    </w:p>
    <w:p>
      <w:pPr>
        <w:numPr>
          <w:ilvl w:val="1"/>
          <w:numId w:val="1007"/>
        </w:numPr>
      </w:pPr>
      <w:r>
        <w:t xml:space="preserve">The authors should provide scripts to reproduce all experimental results for the new proposed method and baselines. If only a subset of experiments are reproducible, they should state which ones are omitted from the script and why.</w:t>
      </w:r>
    </w:p>
    <w:p>
      <w:pPr>
        <w:numPr>
          <w:ilvl w:val="1"/>
          <w:numId w:val="1007"/>
        </w:numPr>
      </w:pPr>
      <w:r>
        <w:t xml:space="preserve">At submission time, to preserve anonymity, the authors should release anonymized versions (if applicable).</w:t>
      </w:r>
    </w:p>
    <w:p>
      <w:pPr>
        <w:numPr>
          <w:ilvl w:val="1"/>
          <w:numId w:val="1007"/>
        </w:numPr>
      </w:pPr>
      <w:r>
        <w:t xml:space="preserve">Providing as much information as possible in supplemental material (appended to the paper) is recommended, but including URLs to data and code is permitted.</w:t>
      </w:r>
    </w:p>
    <w:p>
      <w:pPr>
        <w:numPr>
          <w:ilvl w:val="0"/>
          <w:numId w:val="1001"/>
        </w:numPr>
      </w:pPr>
      <w:r>
        <w:rPr>
          <w:b/>
          <w:bCs/>
        </w:rPr>
        <w:t xml:space="preserve">Experimental setting/details</w:t>
      </w:r>
    </w:p>
    <w:p>
      <w:pPr>
        <w:numPr>
          <w:ilvl w:val="0"/>
          <w:numId w:val="1001"/>
        </w:numPr>
      </w:pPr>
      <w:r>
        <w:t xml:space="preserve">Question: Does the paper specify all the training and test details (e.g., data splits, hyperparameters, how they were chosen, type of optimizer) necessary to understand the results?</w:t>
      </w:r>
    </w:p>
    <w:p>
      <w:pPr>
        <w:numPr>
          <w:ilvl w:val="0"/>
          <w:numId w:val="1001"/>
        </w:numPr>
      </w:pPr>
      <w:r>
        <w:t xml:space="preserve">Answer:</w:t>
      </w:r>
    </w:p>
    <w:p>
      <w:pPr>
        <w:numPr>
          <w:ilvl w:val="0"/>
          <w:numId w:val="1001"/>
        </w:numPr>
      </w:pPr>
      <w:r>
        <w:t xml:space="preserve">Justification: The Methods and Results provide the state grid, branch construction, intervention targets, controls, action horizons, model interfaces, and statistical analysis needed to interpret the results. Appendix A states which exact environment details are available and which remain unreported.</w:t>
      </w:r>
    </w:p>
    <w:p>
      <w:pPr>
        <w:numPr>
          <w:ilvl w:val="0"/>
          <w:numId w:val="1001"/>
        </w:numPr>
      </w:pPr>
      <w:r>
        <w:t xml:space="preserve">Guidelines:</w:t>
      </w:r>
    </w:p>
    <w:p>
      <w:pPr>
        <w:numPr>
          <w:ilvl w:val="1"/>
          <w:numId w:val="1008"/>
        </w:numPr>
      </w:pPr>
      <w:r>
        <w:t xml:space="preserve">The answer means that the paper does not include experiments.</w:t>
      </w:r>
    </w:p>
    <w:p>
      <w:pPr>
        <w:numPr>
          <w:ilvl w:val="1"/>
          <w:numId w:val="1008"/>
        </w:numPr>
      </w:pPr>
      <w:r>
        <w:t xml:space="preserve">The experimental setting should be presented in the core of the paper to a level of detail that is necessary to appreciate the results and make sense of them.</w:t>
      </w:r>
    </w:p>
    <w:p>
      <w:pPr>
        <w:numPr>
          <w:ilvl w:val="1"/>
          <w:numId w:val="1008"/>
        </w:numPr>
      </w:pPr>
      <w:r>
        <w:t xml:space="preserve">The full details can be provided either with the code, in appendix, or as supplemental material.</w:t>
      </w:r>
    </w:p>
    <w:p>
      <w:pPr>
        <w:numPr>
          <w:ilvl w:val="0"/>
          <w:numId w:val="1001"/>
        </w:numPr>
      </w:pPr>
      <w:r>
        <w:rPr>
          <w:b/>
          <w:bCs/>
        </w:rPr>
        <w:t xml:space="preserve">Experiment statistical significance</w:t>
      </w:r>
    </w:p>
    <w:p>
      <w:pPr>
        <w:numPr>
          <w:ilvl w:val="0"/>
          <w:numId w:val="1001"/>
        </w:numPr>
      </w:pPr>
      <w:r>
        <w:t xml:space="preserve">Question: Does the paper report error bars suitably and correctly defined or other appropriate information about the statistical significance of the experiments?</w:t>
      </w:r>
    </w:p>
    <w:p>
      <w:pPr>
        <w:numPr>
          <w:ilvl w:val="0"/>
          <w:numId w:val="1001"/>
        </w:numPr>
      </w:pPr>
      <w:r>
        <w:t xml:space="preserve">Answer:</w:t>
      </w:r>
    </w:p>
    <w:p>
      <w:pPr>
        <w:numPr>
          <w:ilvl w:val="0"/>
          <w:numId w:val="1001"/>
        </w:numPr>
      </w:pPr>
      <w:r>
        <w:t xml:space="preserve">Justification: Principal estimates have explicitly defined 95% cluster-bootstrap intervals, the independent unit and 10,000-resample procedure are stated in the Methods, and exact sign counts are reported where relevant. The text identifies controls and secondary means for which exact intervals were not available.</w:t>
      </w:r>
    </w:p>
    <w:p>
      <w:pPr>
        <w:numPr>
          <w:ilvl w:val="0"/>
          <w:numId w:val="1001"/>
        </w:numPr>
      </w:pPr>
      <w:r>
        <w:t xml:space="preserve">Guidelines:</w:t>
      </w:r>
    </w:p>
    <w:p>
      <w:pPr>
        <w:numPr>
          <w:ilvl w:val="1"/>
          <w:numId w:val="1009"/>
        </w:numPr>
      </w:pPr>
      <w:r>
        <w:t xml:space="preserve">The answer means that the paper does not include experiments.</w:t>
      </w:r>
    </w:p>
    <w:p>
      <w:pPr>
        <w:numPr>
          <w:ilvl w:val="1"/>
          <w:numId w:val="1009"/>
        </w:numPr>
      </w:pPr>
      <w:r>
        <w:t xml:space="preserve">The authors should answer if the results are accompanied by error bars, confidence intervals, or statistical significance tests, at least for the experiments that support the main claims of the paper.</w:t>
      </w:r>
    </w:p>
    <w:p>
      <w:pPr>
        <w:numPr>
          <w:ilvl w:val="1"/>
          <w:numId w:val="1009"/>
        </w:numPr>
      </w:pPr>
      <w:r>
        <w:t xml:space="preserve">The factors of variability that the error bars are capturing should be clearly stated (for example, train/test split, initialization, random drawing of some parameter, or overall run with given experimental conditions).</w:t>
      </w:r>
    </w:p>
    <w:p>
      <w:pPr>
        <w:numPr>
          <w:ilvl w:val="1"/>
          <w:numId w:val="1009"/>
        </w:numPr>
      </w:pPr>
      <w:r>
        <w:t xml:space="preserve">The method for calculating the error bars should be explained (closed form formula, call to a library function, bootstrap, etc.)</w:t>
      </w:r>
    </w:p>
    <w:p>
      <w:pPr>
        <w:numPr>
          <w:ilvl w:val="1"/>
          <w:numId w:val="1009"/>
        </w:numPr>
      </w:pPr>
      <w:r>
        <w:t xml:space="preserve">The assumptions made should be given (e.g., Normally distributed errors).</w:t>
      </w:r>
    </w:p>
    <w:p>
      <w:pPr>
        <w:numPr>
          <w:ilvl w:val="1"/>
          <w:numId w:val="1009"/>
        </w:numPr>
      </w:pPr>
      <w:r>
        <w:t xml:space="preserve">It should be clear whether the error bar is the standard deviation or the standard error of the mean.</w:t>
      </w:r>
    </w:p>
    <w:p>
      <w:pPr>
        <w:numPr>
          <w:ilvl w:val="1"/>
          <w:numId w:val="1009"/>
        </w:numPr>
      </w:pPr>
      <w:r>
        <w:t xml:space="preserve">It is OK to report 1-sigma error bars, but one should state it. The authors should preferably report a 2-sigma error bar than state that they have a 96% CI, if the hypothesis of Normality of errors is not verified.</w:t>
      </w:r>
    </w:p>
    <w:p>
      <w:pPr>
        <w:numPr>
          <w:ilvl w:val="1"/>
          <w:numId w:val="1009"/>
        </w:numPr>
      </w:pPr>
      <w:r>
        <w:t xml:space="preserve">For asymmetric distributions, the authors should be careful not to show in tables or figures symmetric error bars that would yield results that are out of range (e.g., negative error rates).</w:t>
      </w:r>
    </w:p>
    <w:p>
      <w:pPr>
        <w:numPr>
          <w:ilvl w:val="1"/>
          <w:numId w:val="1009"/>
        </w:numPr>
      </w:pPr>
      <w:r>
        <w:t xml:space="preserve">If error bars are reported in tables or plots, the authors should explain in the text how they were calculated and reference the corresponding figures or tables in the text.</w:t>
      </w:r>
    </w:p>
    <w:p>
      <w:pPr>
        <w:numPr>
          <w:ilvl w:val="0"/>
          <w:numId w:val="1001"/>
        </w:numPr>
      </w:pPr>
      <w:r>
        <w:rPr>
          <w:b/>
          <w:bCs/>
        </w:rPr>
        <w:t xml:space="preserve">Experiments compute resources</w:t>
      </w:r>
    </w:p>
    <w:p>
      <w:pPr>
        <w:numPr>
          <w:ilvl w:val="0"/>
          <w:numId w:val="1001"/>
        </w:numPr>
      </w:pPr>
      <w:r>
        <w:t xml:space="preserve">Question: For each experiment, does the paper provide sufficient information on the computer resources (type of compute workers, memory, time of execution) needed to reproduce the experiments?</w:t>
      </w:r>
    </w:p>
    <w:p>
      <w:pPr>
        <w:numPr>
          <w:ilvl w:val="0"/>
          <w:numId w:val="1001"/>
        </w:numPr>
      </w:pPr>
      <w:r>
        <w:t xml:space="preserve">Answer:</w:t>
      </w:r>
    </w:p>
    <w:p>
      <w:pPr>
        <w:numPr>
          <w:ilvl w:val="0"/>
          <w:numId w:val="1001"/>
        </w:numPr>
      </w:pPr>
      <w:r>
        <w:t xml:space="preserve">Justification: Appendix A reports GPU type and software environment, but complete per-run wall-clock and aggregate compute-hour accounting is still being assembled for the submission artifact.</w:t>
      </w:r>
    </w:p>
    <w:p>
      <w:pPr>
        <w:numPr>
          <w:ilvl w:val="0"/>
          <w:numId w:val="1001"/>
        </w:numPr>
      </w:pPr>
      <w:r>
        <w:t xml:space="preserve">Guidelines:</w:t>
      </w:r>
    </w:p>
    <w:p>
      <w:pPr>
        <w:numPr>
          <w:ilvl w:val="1"/>
          <w:numId w:val="1010"/>
        </w:numPr>
      </w:pPr>
      <w:r>
        <w:t xml:space="preserve">The answer means that the paper does not include experiments.</w:t>
      </w:r>
    </w:p>
    <w:p>
      <w:pPr>
        <w:numPr>
          <w:ilvl w:val="1"/>
          <w:numId w:val="1010"/>
        </w:numPr>
      </w:pPr>
      <w:r>
        <w:t xml:space="preserve">The paper should indicate the type of compute workers CPU or GPU, internal cluster, or cloud provider, including relevant memory and storage.</w:t>
      </w:r>
    </w:p>
    <w:p>
      <w:pPr>
        <w:numPr>
          <w:ilvl w:val="1"/>
          <w:numId w:val="1010"/>
        </w:numPr>
      </w:pPr>
      <w:r>
        <w:t xml:space="preserve">The paper should provide the amount of compute required for each of the individual experimental runs as well as estimate the total compute.</w:t>
      </w:r>
    </w:p>
    <w:p>
      <w:pPr>
        <w:numPr>
          <w:ilvl w:val="1"/>
          <w:numId w:val="1010"/>
        </w:numPr>
      </w:pPr>
      <w:r>
        <w:t xml:space="preserve">The paper should disclose whether the full research project required more compute than the experiments reported in the paper (e.g., preliminary or failed experiments that didn’t make it into the paper).</w:t>
      </w:r>
    </w:p>
    <w:p>
      <w:pPr>
        <w:numPr>
          <w:ilvl w:val="0"/>
          <w:numId w:val="1001"/>
        </w:numPr>
      </w:pPr>
      <w:r>
        <w:rPr>
          <w:b/>
          <w:bCs/>
        </w:rPr>
        <w:t xml:space="preserve">Code of ethics</w:t>
      </w:r>
    </w:p>
    <w:p>
      <w:pPr>
        <w:numPr>
          <w:ilvl w:val="0"/>
          <w:numId w:val="1001"/>
        </w:numPr>
      </w:pPr>
      <w:r>
        <w:t xml:space="preserve">Question: Does the research conducted in the paper conform, in every respect, with the NeurIPS Code of Ethics</w:t>
      </w:r>
      <w:r>
        <w:t xml:space="preserve"> </w:t>
      </w:r>
      <w:hyperlink r:id="rId44">
        <w:r>
          <w:rPr>
            <w:rStyle w:val="Hyperlink"/>
          </w:rPr>
          <w:t xml:space="preserve">https://neurips.cc/public/EthicsGuidelines</w:t>
        </w:r>
      </w:hyperlink>
      <w:r>
        <w:t xml:space="preserve">?</w:t>
      </w:r>
    </w:p>
    <w:p>
      <w:pPr>
        <w:numPr>
          <w:ilvl w:val="0"/>
          <w:numId w:val="1001"/>
        </w:numPr>
      </w:pPr>
      <w:r>
        <w:t xml:space="preserve">Answer:</w:t>
      </w:r>
    </w:p>
    <w:p>
      <w:pPr>
        <w:numPr>
          <w:ilvl w:val="0"/>
          <w:numId w:val="1001"/>
        </w:numPr>
      </w:pPr>
      <w:r>
        <w:t xml:space="preserve">Justification: The experiments use public robot-policy checkpoints and simulation benchmarks, involve no people or personal data, and report negative and failed intervention results rather than selectively discarding them.</w:t>
      </w:r>
    </w:p>
    <w:p>
      <w:pPr>
        <w:numPr>
          <w:ilvl w:val="0"/>
          <w:numId w:val="1001"/>
        </w:numPr>
      </w:pPr>
      <w:r>
        <w:t xml:space="preserve">Guidelines:</w:t>
      </w:r>
    </w:p>
    <w:p>
      <w:pPr>
        <w:numPr>
          <w:ilvl w:val="1"/>
          <w:numId w:val="1011"/>
        </w:numPr>
      </w:pPr>
      <w:r>
        <w:t xml:space="preserve">The answer means that the authors have not reviewed the NeurIPS Code of Ethics.</w:t>
      </w:r>
    </w:p>
    <w:p>
      <w:pPr>
        <w:numPr>
          <w:ilvl w:val="1"/>
          <w:numId w:val="1011"/>
        </w:numPr>
      </w:pPr>
      <w:r>
        <w:t xml:space="preserve">If the authors answer , they should explain the special circumstances that require a deviation from the Code of Ethics.</w:t>
      </w:r>
    </w:p>
    <w:p>
      <w:pPr>
        <w:numPr>
          <w:ilvl w:val="1"/>
          <w:numId w:val="1011"/>
        </w:numPr>
      </w:pPr>
      <w:r>
        <w:t xml:space="preserve">The authors should make sure to preserve anonymity (e.g., if there is a special consideration due to laws or regulations in their jurisdiction).</w:t>
      </w:r>
    </w:p>
    <w:p>
      <w:pPr>
        <w:numPr>
          <w:ilvl w:val="0"/>
          <w:numId w:val="1001"/>
        </w:numPr>
      </w:pPr>
      <w:r>
        <w:rPr>
          <w:b/>
          <w:bCs/>
        </w:rPr>
        <w:t xml:space="preserve">Broader impacts</w:t>
      </w:r>
    </w:p>
    <w:p>
      <w:pPr>
        <w:numPr>
          <w:ilvl w:val="0"/>
          <w:numId w:val="1001"/>
        </w:numPr>
      </w:pPr>
      <w:r>
        <w:t xml:space="preserve">Question: Does the paper discuss both potential positive societal impacts and negative societal impacts of the work performed?</w:t>
      </w:r>
    </w:p>
    <w:p>
      <w:pPr>
        <w:numPr>
          <w:ilvl w:val="0"/>
          <w:numId w:val="1001"/>
        </w:numPr>
      </w:pPr>
      <w:r>
        <w:t xml:space="preserve">Answer:</w:t>
      </w:r>
    </w:p>
    <w:p>
      <w:pPr>
        <w:numPr>
          <w:ilvl w:val="0"/>
          <w:numId w:val="1001"/>
        </w:numPr>
      </w:pPr>
      <w:r>
        <w:t xml:space="preserve">Justification: The Discussion and Limitations section discusses auditability benefits, action-redirection misuse, false confidence from narrow simulation, and corresponding validation and safety-monitoring needs.</w:t>
      </w:r>
    </w:p>
    <w:p>
      <w:pPr>
        <w:numPr>
          <w:ilvl w:val="0"/>
          <w:numId w:val="1001"/>
        </w:numPr>
      </w:pPr>
      <w:r>
        <w:t xml:space="preserve">Guidelines:</w:t>
      </w:r>
    </w:p>
    <w:p>
      <w:pPr>
        <w:numPr>
          <w:ilvl w:val="1"/>
          <w:numId w:val="1012"/>
        </w:numPr>
      </w:pPr>
      <w:r>
        <w:t xml:space="preserve">The answer means that there is no societal impact of the work performed.</w:t>
      </w:r>
    </w:p>
    <w:p>
      <w:pPr>
        <w:numPr>
          <w:ilvl w:val="1"/>
          <w:numId w:val="1012"/>
        </w:numPr>
      </w:pPr>
      <w:r>
        <w:t xml:space="preserve">If the authors answer or , they should explain why their work has no societal impact or why the paper does not address societal impact.</w:t>
      </w:r>
    </w:p>
    <w:p>
      <w:pPr>
        <w:numPr>
          <w:ilvl w:val="1"/>
          <w:numId w:val="1012"/>
        </w:numPr>
      </w:pPr>
      <w:r>
        <w:t xml:space="preserve">Examples of negative societal impacts include potential malicious or unintended uses (e.g., disinformation, generating fake profiles, surveillance), fairness considerations (e.g., deployment of technologies that could make decisions that unfairly impact specific groups), privacy considerations, and security considerations.</w:t>
      </w:r>
    </w:p>
    <w:p>
      <w:pPr>
        <w:numPr>
          <w:ilvl w:val="1"/>
          <w:numId w:val="1012"/>
        </w:numPr>
      </w:pPr>
      <w:r>
        <w:t xml:space="preserve">The conference expects that many papers will be foundational research and not tied to particular applications, let alone deployments. However, if there is a direct path to any negative applications, the authors should point it out. For example, it is legitimate to point out that an improvement in the quality of generative models could be used to generate Deepfakes for disinformation. On the other hand, it is not needed to point out that a generic algorithm for optimizing neural networks could enable people to train models that generate Deepfakes faster.</w:t>
      </w:r>
    </w:p>
    <w:p>
      <w:pPr>
        <w:numPr>
          <w:ilvl w:val="1"/>
          <w:numId w:val="1012"/>
        </w:numPr>
      </w:pPr>
      <w:r>
        <w:t xml:space="preserve">The authors should consider possible harms that could arise when the technology is being used as intended and functioning correctly, harms that could arise when the technology is being used as intended but gives incorrect results, and harms following from (intentional or unintentional) misuse of the technology.</w:t>
      </w:r>
    </w:p>
    <w:p>
      <w:pPr>
        <w:numPr>
          <w:ilvl w:val="1"/>
          <w:numId w:val="1012"/>
        </w:numPr>
      </w:pPr>
      <w:r>
        <w:t xml:space="preserve">If there are negative societal impacts, the authors could also discuss possible mitigation strategies (e.g., gated release of models, providing defenses in addition to attacks, mechanisms for monitoring misuse, mechanisms to monitor how a system learns from feedback over time, improving the efficiency and accessibility of ML).</w:t>
      </w:r>
    </w:p>
    <w:p>
      <w:pPr>
        <w:numPr>
          <w:ilvl w:val="0"/>
          <w:numId w:val="1001"/>
        </w:numPr>
      </w:pPr>
      <w:r>
        <w:rPr>
          <w:b/>
          <w:bCs/>
        </w:rPr>
        <w:t xml:space="preserve">Safeguards</w:t>
      </w:r>
    </w:p>
    <w:p>
      <w:pPr>
        <w:numPr>
          <w:ilvl w:val="0"/>
          <w:numId w:val="1001"/>
        </w:numPr>
      </w:pPr>
      <w:r>
        <w:t xml:space="preserve">Question: Does the paper describe safeguards that have been put in place for responsible release of data or models that have a high risk for misuse (e.g., pre-trained language models, image generators, or scraped datasets)?</w:t>
      </w:r>
    </w:p>
    <w:p>
      <w:pPr>
        <w:numPr>
          <w:ilvl w:val="0"/>
          <w:numId w:val="1001"/>
        </w:numPr>
      </w:pPr>
      <w:r>
        <w:t xml:space="preserve">Answer:</w:t>
      </w:r>
    </w:p>
    <w:p>
      <w:pPr>
        <w:numPr>
          <w:ilvl w:val="0"/>
          <w:numId w:val="1001"/>
        </w:numPr>
      </w:pPr>
      <w:r>
        <w:t xml:space="preserve">Justification: This work does not release a new high-risk pretrained model or scraped dataset; it analyzes existing robot policies in simulation.</w:t>
      </w:r>
    </w:p>
    <w:p>
      <w:pPr>
        <w:numPr>
          <w:ilvl w:val="0"/>
          <w:numId w:val="1001"/>
        </w:numPr>
      </w:pPr>
      <w:r>
        <w:t xml:space="preserve">Guidelines:</w:t>
      </w:r>
    </w:p>
    <w:p>
      <w:pPr>
        <w:numPr>
          <w:ilvl w:val="1"/>
          <w:numId w:val="1013"/>
        </w:numPr>
      </w:pPr>
      <w:r>
        <w:t xml:space="preserve">The answer means that the paper poses no such risks.</w:t>
      </w:r>
    </w:p>
    <w:p>
      <w:pPr>
        <w:numPr>
          <w:ilvl w:val="1"/>
          <w:numId w:val="1013"/>
        </w:numPr>
      </w:pPr>
      <w:r>
        <w:t xml:space="preserve">Released models that have a high risk for misuse or dual-use should be released with necessary safeguards to allow for controlled use of the model, for example by requiring that users adhere to usage guidelines or restrictions to access the model or implementing safety filters.</w:t>
      </w:r>
    </w:p>
    <w:p>
      <w:pPr>
        <w:numPr>
          <w:ilvl w:val="1"/>
          <w:numId w:val="1013"/>
        </w:numPr>
      </w:pPr>
      <w:r>
        <w:t xml:space="preserve">Datasets that have been scraped from the Internet could pose safety risks. The authors should describe how they avoided releasing unsafe images.</w:t>
      </w:r>
    </w:p>
    <w:p>
      <w:pPr>
        <w:numPr>
          <w:ilvl w:val="1"/>
          <w:numId w:val="1013"/>
        </w:numPr>
      </w:pPr>
      <w:r>
        <w:t xml:space="preserve">We recognize that providing effective safeguards is challenging, and many papers do not require this, but we encourage authors to take this into account and make a best faith effort.</w:t>
      </w:r>
    </w:p>
    <w:p>
      <w:pPr>
        <w:numPr>
          <w:ilvl w:val="0"/>
          <w:numId w:val="1001"/>
        </w:numPr>
      </w:pPr>
      <w:r>
        <w:rPr>
          <w:b/>
          <w:bCs/>
        </w:rPr>
        <w:t xml:space="preserve">Licenses for existing assets</w:t>
      </w:r>
    </w:p>
    <w:p>
      <w:pPr>
        <w:numPr>
          <w:ilvl w:val="0"/>
          <w:numId w:val="1001"/>
        </w:numPr>
      </w:pPr>
      <w:r>
        <w:t xml:space="preserve">Question: Are the creators or original owners of assets (e.g., code, data, models), used in the paper, properly credited and are the license and terms of use explicitly mentioned and properly respected?</w:t>
      </w:r>
    </w:p>
    <w:p>
      <w:pPr>
        <w:numPr>
          <w:ilvl w:val="0"/>
          <w:numId w:val="1001"/>
        </w:numPr>
      </w:pPr>
      <w:r>
        <w:t xml:space="preserve">Answer:</w:t>
      </w:r>
    </w:p>
    <w:p>
      <w:pPr>
        <w:numPr>
          <w:ilvl w:val="0"/>
          <w:numId w:val="1001"/>
        </w:numPr>
      </w:pPr>
      <w:r>
        <w:t xml:space="preserve">Justification: Existing assets are cited and exact source revisions are recorded, but an explicit license inventory for every upstream code and benchmark asset remains to be added before submission.</w:t>
      </w:r>
    </w:p>
    <w:p>
      <w:pPr>
        <w:numPr>
          <w:ilvl w:val="0"/>
          <w:numId w:val="1001"/>
        </w:numPr>
      </w:pPr>
      <w:r>
        <w:t xml:space="preserve">Guidelines:</w:t>
      </w:r>
    </w:p>
    <w:p>
      <w:pPr>
        <w:numPr>
          <w:ilvl w:val="1"/>
          <w:numId w:val="1014"/>
        </w:numPr>
      </w:pPr>
      <w:r>
        <w:t xml:space="preserve">The answer means that the paper does not use existing assets.</w:t>
      </w:r>
    </w:p>
    <w:p>
      <w:pPr>
        <w:numPr>
          <w:ilvl w:val="1"/>
          <w:numId w:val="1014"/>
        </w:numPr>
      </w:pPr>
      <w:r>
        <w:t xml:space="preserve">The authors should cite the original paper that produced the code package or dataset.</w:t>
      </w:r>
    </w:p>
    <w:p>
      <w:pPr>
        <w:numPr>
          <w:ilvl w:val="1"/>
          <w:numId w:val="1014"/>
        </w:numPr>
      </w:pPr>
      <w:r>
        <w:t xml:space="preserve">The authors should state which version of the asset is used and, if possible, include a URL.</w:t>
      </w:r>
    </w:p>
    <w:p>
      <w:pPr>
        <w:numPr>
          <w:ilvl w:val="1"/>
          <w:numId w:val="1014"/>
        </w:numPr>
      </w:pPr>
      <w:r>
        <w:t xml:space="preserve">The name of the license (e.g., CC-BY 4.0) should be included for each asset.</w:t>
      </w:r>
    </w:p>
    <w:p>
      <w:pPr>
        <w:numPr>
          <w:ilvl w:val="1"/>
          <w:numId w:val="1014"/>
        </w:numPr>
      </w:pPr>
      <w:r>
        <w:t xml:space="preserve">For scraped data from a particular source (e.g., website), the copyright and terms of service of that source should be provided.</w:t>
      </w:r>
    </w:p>
    <w:p>
      <w:pPr>
        <w:numPr>
          <w:ilvl w:val="1"/>
          <w:numId w:val="1014"/>
        </w:numPr>
      </w:pPr>
      <w:r>
        <w:t xml:space="preserve">If assets are released, the license, copyright information, and terms of use in the package should be provided. For popular datasets,</w:t>
      </w:r>
      <w:r>
        <w:t xml:space="preserve"> </w:t>
      </w:r>
      <w:hyperlink r:id="rId45">
        <w:r>
          <w:rPr>
            <w:rStyle w:val="Hyperlink"/>
          </w:rPr>
          <w:t xml:space="preserve">paperswithcode.com/datasets</w:t>
        </w:r>
      </w:hyperlink>
      <w:r>
        <w:t xml:space="preserve"> </w:t>
      </w:r>
      <w:r>
        <w:t xml:space="preserve">has curated licenses for some datasets. Their licensing guide can help determine the license of a dataset.</w:t>
      </w:r>
    </w:p>
    <w:p>
      <w:pPr>
        <w:numPr>
          <w:ilvl w:val="1"/>
          <w:numId w:val="1014"/>
        </w:numPr>
      </w:pPr>
      <w:r>
        <w:t xml:space="preserve">For existing datasets that are re-packaged, both the original license and the license of the derived asset (if it has changed) should be provided.</w:t>
      </w:r>
    </w:p>
    <w:p>
      <w:pPr>
        <w:numPr>
          <w:ilvl w:val="1"/>
          <w:numId w:val="1014"/>
        </w:numPr>
      </w:pPr>
      <w:r>
        <w:t xml:space="preserve">If this information is not available online, the authors are encouraged to reach out to the asset’s creators.</w:t>
      </w:r>
    </w:p>
    <w:p>
      <w:pPr>
        <w:numPr>
          <w:ilvl w:val="0"/>
          <w:numId w:val="1001"/>
        </w:numPr>
      </w:pPr>
      <w:r>
        <w:rPr>
          <w:b/>
          <w:bCs/>
        </w:rPr>
        <w:t xml:space="preserve">New assets</w:t>
      </w:r>
    </w:p>
    <w:p>
      <w:pPr>
        <w:numPr>
          <w:ilvl w:val="0"/>
          <w:numId w:val="1001"/>
        </w:numPr>
      </w:pPr>
      <w:r>
        <w:t xml:space="preserve">Question: Are new assets introduced in the paper well documented and is the documentation provided alongside the assets?</w:t>
      </w:r>
    </w:p>
    <w:p>
      <w:pPr>
        <w:numPr>
          <w:ilvl w:val="0"/>
          <w:numId w:val="1001"/>
        </w:numPr>
      </w:pPr>
      <w:r>
        <w:t xml:space="preserve">Answer:</w:t>
      </w:r>
    </w:p>
    <w:p>
      <w:pPr>
        <w:numPr>
          <w:ilvl w:val="0"/>
          <w:numId w:val="1001"/>
        </w:numPr>
      </w:pPr>
      <w:r>
        <w:t xml:space="preserve">Justification: New intervention code and result manifests are documented in the working artifact, but the anonymized release package and its final license are not yet attached to this draft.</w:t>
      </w:r>
    </w:p>
    <w:p>
      <w:pPr>
        <w:numPr>
          <w:ilvl w:val="0"/>
          <w:numId w:val="1001"/>
        </w:numPr>
      </w:pPr>
      <w:r>
        <w:t xml:space="preserve">Guidelines:</w:t>
      </w:r>
    </w:p>
    <w:p>
      <w:pPr>
        <w:numPr>
          <w:ilvl w:val="1"/>
          <w:numId w:val="1015"/>
        </w:numPr>
      </w:pPr>
      <w:r>
        <w:t xml:space="preserve">The answer means that the paper does not release new assets.</w:t>
      </w:r>
    </w:p>
    <w:p>
      <w:pPr>
        <w:numPr>
          <w:ilvl w:val="1"/>
          <w:numId w:val="1015"/>
        </w:numPr>
      </w:pPr>
      <w:r>
        <w:t xml:space="preserve">Researchers should communicate the details of the dataset/code/model as part of their submissions via structured templates. This includes details about training, license, limitations, etc.</w:t>
      </w:r>
    </w:p>
    <w:p>
      <w:pPr>
        <w:numPr>
          <w:ilvl w:val="1"/>
          <w:numId w:val="1015"/>
        </w:numPr>
      </w:pPr>
      <w:r>
        <w:t xml:space="preserve">The paper should discuss whether and how consent was obtained from people whose asset is used.</w:t>
      </w:r>
    </w:p>
    <w:p>
      <w:pPr>
        <w:numPr>
          <w:ilvl w:val="1"/>
          <w:numId w:val="1015"/>
        </w:numPr>
      </w:pPr>
      <w:r>
        <w:t xml:space="preserve">At submission time, remember to anonymize your assets (if applicable). You can either create an anonymized URL or include an anonymized zip file.</w:t>
      </w:r>
    </w:p>
    <w:p>
      <w:pPr>
        <w:numPr>
          <w:ilvl w:val="0"/>
          <w:numId w:val="1001"/>
        </w:numPr>
      </w:pPr>
      <w:r>
        <w:rPr>
          <w:b/>
          <w:bCs/>
        </w:rPr>
        <w:t xml:space="preserve">Crowdsourcing and research with human subjects</w:t>
      </w:r>
    </w:p>
    <w:p>
      <w:pPr>
        <w:numPr>
          <w:ilvl w:val="0"/>
          <w:numId w:val="1001"/>
        </w:numPr>
      </w:pPr>
      <w:r>
        <w:t xml:space="preserve">Question: For crowdsourcing experiments and research with human subjects, does the paper include the full text of instructions given to participants and screenshots, if applicable, as well as details about compensation (if any)?</w:t>
      </w:r>
    </w:p>
    <w:p>
      <w:pPr>
        <w:numPr>
          <w:ilvl w:val="0"/>
          <w:numId w:val="1001"/>
        </w:numPr>
      </w:pPr>
      <w:r>
        <w:t xml:space="preserve">Answer:</w:t>
      </w:r>
    </w:p>
    <w:p>
      <w:pPr>
        <w:numPr>
          <w:ilvl w:val="0"/>
          <w:numId w:val="1001"/>
        </w:numPr>
      </w:pPr>
      <w:r>
        <w:t xml:space="preserve">Justification: The research contains no crowdsourcing and no human participants.</w:t>
      </w:r>
    </w:p>
    <w:p>
      <w:pPr>
        <w:numPr>
          <w:ilvl w:val="0"/>
          <w:numId w:val="1001"/>
        </w:numPr>
      </w:pPr>
      <w:r>
        <w:t xml:space="preserve">Guidelines:</w:t>
      </w:r>
    </w:p>
    <w:p>
      <w:pPr>
        <w:numPr>
          <w:ilvl w:val="1"/>
          <w:numId w:val="1016"/>
        </w:numPr>
      </w:pPr>
      <w:r>
        <w:t xml:space="preserve">The answer means that the paper does not involve crowdsourcing nor research with human subjects.</w:t>
      </w:r>
    </w:p>
    <w:p>
      <w:pPr>
        <w:numPr>
          <w:ilvl w:val="1"/>
          <w:numId w:val="1016"/>
        </w:numPr>
      </w:pPr>
      <w:r>
        <w:t xml:space="preserve">Including this information in the supplemental material is fine, but if the main contribution of the paper involves human subjects, then as much detail as possible should be included in the main paper.</w:t>
      </w:r>
    </w:p>
    <w:p>
      <w:pPr>
        <w:numPr>
          <w:ilvl w:val="1"/>
          <w:numId w:val="1016"/>
        </w:numPr>
      </w:pPr>
      <w:r>
        <w:t xml:space="preserve">According to the NeurIPS Code of Ethics, workers involved in data collection, curation, or other labor should be paid at least the minimum wage in the country of the data collector.</w:t>
      </w:r>
    </w:p>
    <w:p>
      <w:pPr>
        <w:numPr>
          <w:ilvl w:val="0"/>
          <w:numId w:val="1001"/>
        </w:numPr>
      </w:pPr>
      <w:r>
        <w:rPr>
          <w:b/>
          <w:bCs/>
        </w:rPr>
        <w:t xml:space="preserve">Institutional review board (IRB) approvals or equivalent for research with human subjects</w:t>
      </w:r>
    </w:p>
    <w:p>
      <w:pPr>
        <w:numPr>
          <w:ilvl w:val="0"/>
          <w:numId w:val="1001"/>
        </w:numPr>
      </w:pPr>
      <w:r>
        <w:t xml:space="preserve">Question: Does the paper describe potential risks incurred by study participants, whether such risks were disclosed to the subjects, and whether Institutional Review Board (IRB) approvals (or an equivalent approval/review based on the requirements of your country or institution) were obtained?</w:t>
      </w:r>
    </w:p>
    <w:p>
      <w:pPr>
        <w:numPr>
          <w:ilvl w:val="0"/>
          <w:numId w:val="1001"/>
        </w:numPr>
      </w:pPr>
      <w:r>
        <w:t xml:space="preserve">Answer:</w:t>
      </w:r>
    </w:p>
    <w:p>
      <w:pPr>
        <w:numPr>
          <w:ilvl w:val="0"/>
          <w:numId w:val="1001"/>
        </w:numPr>
      </w:pPr>
      <w:r>
        <w:t xml:space="preserve">Justification: The research contains no human-subject data collection or interaction.</w:t>
      </w:r>
    </w:p>
    <w:p>
      <w:pPr>
        <w:numPr>
          <w:ilvl w:val="0"/>
          <w:numId w:val="1001"/>
        </w:numPr>
      </w:pPr>
      <w:r>
        <w:t xml:space="preserve">Guidelines:</w:t>
      </w:r>
    </w:p>
    <w:p>
      <w:pPr>
        <w:numPr>
          <w:ilvl w:val="1"/>
          <w:numId w:val="1017"/>
        </w:numPr>
      </w:pPr>
      <w:r>
        <w:t xml:space="preserve">The answer means that the paper does not involve crowdsourcing nor research with human subjects.</w:t>
      </w:r>
    </w:p>
    <w:p>
      <w:pPr>
        <w:numPr>
          <w:ilvl w:val="1"/>
          <w:numId w:val="1017"/>
        </w:numPr>
      </w:pPr>
      <w:r>
        <w:t xml:space="preserve">Depending on the country in which research is conducted, IRB approval (or equivalent) may be required for any human subjects research. If you obtained IRB approval, you should clearly state this in the paper.</w:t>
      </w:r>
    </w:p>
    <w:p>
      <w:pPr>
        <w:numPr>
          <w:ilvl w:val="1"/>
          <w:numId w:val="1017"/>
        </w:numPr>
      </w:pPr>
      <w:r>
        <w:t xml:space="preserve">We recognize that the procedures for this may vary significantly between institutions and locations, and we expect authors to adhere to the NeurIPS Code of Ethics and the guidelines for their institution.</w:t>
      </w:r>
    </w:p>
    <w:p>
      <w:pPr>
        <w:numPr>
          <w:ilvl w:val="1"/>
          <w:numId w:val="1017"/>
        </w:numPr>
      </w:pPr>
      <w:r>
        <w:t xml:space="preserve">For initial submissions, do not include any information that would break anonymity (if applicable), such as the institution conducting the review.</w:t>
      </w:r>
    </w:p>
    <w:p>
      <w:pPr>
        <w:numPr>
          <w:ilvl w:val="0"/>
          <w:numId w:val="1001"/>
        </w:numPr>
      </w:pPr>
      <w:r>
        <w:rPr>
          <w:b/>
          <w:bCs/>
        </w:rPr>
        <w:t xml:space="preserve">Declaration of LLM usage</w:t>
      </w:r>
    </w:p>
    <w:p>
      <w:pPr>
        <w:numPr>
          <w:ilvl w:val="0"/>
          <w:numId w:val="1001"/>
        </w:numPr>
      </w:pPr>
      <w:r>
        <w:t xml:space="preserve">Question: Does the paper describe the usage of LLMs if it is an important, original, or non-standard component of the core methods in this research? Note that if the LLM is used only for writing, editing, or formatting purposes and does</w:t>
      </w:r>
      <w:r>
        <w:t xml:space="preserve"> </w:t>
      </w:r>
      <w:r>
        <w:rPr>
          <w:i/>
          <w:iCs/>
        </w:rPr>
        <w:t xml:space="preserve">not</w:t>
      </w:r>
      <w:r>
        <w:t xml:space="preserve"> </w:t>
      </w:r>
      <w:r>
        <w:t xml:space="preserve">impact the core methodology, scientific rigor, or originality of the research, declaration is not required.</w:t>
      </w:r>
    </w:p>
    <w:p>
      <w:pPr>
        <w:numPr>
          <w:ilvl w:val="0"/>
          <w:numId w:val="1001"/>
        </w:numPr>
      </w:pPr>
      <w:r>
        <w:t xml:space="preserve">Answer:</w:t>
      </w:r>
    </w:p>
    <w:p>
      <w:pPr>
        <w:numPr>
          <w:ilvl w:val="0"/>
          <w:numId w:val="1001"/>
        </w:numPr>
      </w:pPr>
      <w:r>
        <w:t xml:space="preserve">Justification: Language models were used only for writing and formatting assistance, not as a component of the experimental method or scientific evaluation.</w:t>
      </w:r>
    </w:p>
    <w:p>
      <w:pPr>
        <w:numPr>
          <w:ilvl w:val="0"/>
          <w:numId w:val="1001"/>
        </w:numPr>
      </w:pPr>
      <w:r>
        <w:t xml:space="preserve">Guidelines:</w:t>
      </w:r>
    </w:p>
    <w:p>
      <w:pPr>
        <w:numPr>
          <w:ilvl w:val="1"/>
          <w:numId w:val="1018"/>
        </w:numPr>
      </w:pPr>
      <w:r>
        <w:t xml:space="preserve">The answer means that the core method development in this research does not involve LLMs as any important, original, or non-standard components.</w:t>
      </w:r>
    </w:p>
    <w:p>
      <w:pPr>
        <w:numPr>
          <w:ilvl w:val="1"/>
          <w:numId w:val="1018"/>
        </w:numPr>
      </w:pPr>
      <w:r>
        <w:t xml:space="preserve">Please refer to our LLM policy in the NeurIPS handbook for what should or should not be described.</w:t>
      </w:r>
    </w:p>
    <w:bookmarkStart w:id="92" w:name="refs"/>
    <w:bookmarkStart w:id="47"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46">
        <w:r>
          <w:rPr>
            <w:rStyle w:val="Hyperlink"/>
          </w:rPr>
          <w:t xml:space="preserve">https://proceedings.neurips.cc/paper_files/paper/2023/hash/1d5b9233ad716a43be5c0d3023cb82d0-Abstract.html</w:t>
        </w:r>
      </w:hyperlink>
      <w:r>
        <w:t xml:space="preserve">.</w:t>
      </w:r>
    </w:p>
    <w:bookmarkEnd w:id="47"/>
    <w:bookmarkStart w:id="49"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48">
        <w:r>
          <w:rPr>
            <w:rStyle w:val="Hyperlink"/>
          </w:rPr>
          <w:t xml:space="preserve">https://openreview.net/forum?id=9pKtcJcMP3</w:t>
        </w:r>
      </w:hyperlink>
      <w:r>
        <w:t xml:space="preserve">.</w:t>
      </w:r>
    </w:p>
    <w:bookmarkEnd w:id="49"/>
    <w:bookmarkStart w:id="51"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0">
        <w:r>
          <w:rPr>
            <w:rStyle w:val="Hyperlink"/>
          </w:rPr>
          <w:t xml:space="preserve">https://arxiv.org/abs/1812.00568</w:t>
        </w:r>
      </w:hyperlink>
      <w:r>
        <w:t xml:space="preserve">.</w:t>
      </w:r>
    </w:p>
    <w:bookmarkEnd w:id="51"/>
    <w:bookmarkStart w:id="53"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52">
        <w:r>
          <w:rPr>
            <w:rStyle w:val="Hyperlink"/>
          </w:rPr>
          <w:t xml:space="preserve">https://doi.org/10.1111/j.1467-9868.2007.00593.x</w:t>
        </w:r>
      </w:hyperlink>
      <w:r>
        <w:t xml:space="preserve">.</w:t>
      </w:r>
    </w:p>
    <w:bookmarkEnd w:id="53"/>
    <w:bookmarkStart w:id="55"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54">
        <w:r>
          <w:rPr>
            <w:rStyle w:val="Hyperlink"/>
          </w:rPr>
          <w:t xml:space="preserve">https://doi.org/10.48550/arXiv.2304.05969</w:t>
        </w:r>
      </w:hyperlink>
      <w:r>
        <w:t xml:space="preserve">.</w:t>
      </w:r>
    </w:p>
    <w:bookmarkEnd w:id="55"/>
    <w:bookmarkStart w:id="57"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56">
        <w:r>
          <w:rPr>
            <w:rStyle w:val="Hyperlink"/>
          </w:rPr>
          <w:t xml:space="preserve">https://doi.org/10.52202/079017-3570</w:t>
        </w:r>
      </w:hyperlink>
      <w:r>
        <w:t xml:space="preserve">.</w:t>
      </w:r>
    </w:p>
    <w:bookmarkEnd w:id="57"/>
    <w:bookmarkStart w:id="59"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58">
        <w:r>
          <w:rPr>
            <w:rStyle w:val="Hyperlink"/>
          </w:rPr>
          <w:t xml:space="preserve">https://proceedings.mlr.press/v267/hu25g.html</w:t>
        </w:r>
      </w:hyperlink>
      <w:r>
        <w:t xml:space="preserve">.</w:t>
      </w:r>
    </w:p>
    <w:bookmarkEnd w:id="59"/>
    <w:bookmarkStart w:id="61"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0">
        <w:r>
          <w:rPr>
            <w:rStyle w:val="Hyperlink"/>
          </w:rPr>
          <w:t xml:space="preserve">https://openreview.net/forum?id=wPEIStHxYH</w:t>
        </w:r>
      </w:hyperlink>
      <w:r>
        <w:t xml:space="preserve">.</w:t>
      </w:r>
    </w:p>
    <w:bookmarkEnd w:id="61"/>
    <w:bookmarkStart w:id="63"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62">
        <w:r>
          <w:rPr>
            <w:rStyle w:val="Hyperlink"/>
          </w:rPr>
          <w:t xml:space="preserve">https://doi.org/10.1177/1948550617697177</w:t>
        </w:r>
      </w:hyperlink>
      <w:r>
        <w:t xml:space="preserve">.</w:t>
      </w:r>
    </w:p>
    <w:bookmarkEnd w:id="63"/>
    <w:bookmarkStart w:id="65"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64">
        <w:r>
          <w:rPr>
            <w:rStyle w:val="Hyperlink"/>
          </w:rPr>
          <w:t xml:space="preserve">https://doi.org/10.48550/arXiv.2503.00200</w:t>
        </w:r>
      </w:hyperlink>
      <w:r>
        <w:t xml:space="preserve">.</w:t>
      </w:r>
    </w:p>
    <w:bookmarkEnd w:id="65"/>
    <w:bookmarkStart w:id="67"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66">
        <w:r>
          <w:rPr>
            <w:rStyle w:val="Hyperlink"/>
          </w:rPr>
          <w:t xml:space="preserve">https://doi.org/10.52202/075280-1939</w:t>
        </w:r>
      </w:hyperlink>
      <w:r>
        <w:t xml:space="preserve">.</w:t>
      </w:r>
    </w:p>
    <w:bookmarkEnd w:id="67"/>
    <w:bookmarkStart w:id="69"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68">
        <w:r>
          <w:rPr>
            <w:rStyle w:val="Hyperlink"/>
          </w:rPr>
          <w:t xml:space="preserve">https://doi.org/10.52202/068431-1262</w:t>
        </w:r>
      </w:hyperlink>
      <w:r>
        <w:t xml:space="preserve">.</w:t>
      </w:r>
    </w:p>
    <w:bookmarkEnd w:id="69"/>
    <w:bookmarkStart w:id="71"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0">
        <w:r>
          <w:rPr>
            <w:rStyle w:val="Hyperlink"/>
          </w:rPr>
          <w:t xml:space="preserve">https://doi.org/10.15607/RSS.2024.XX.050</w:t>
        </w:r>
      </w:hyperlink>
      <w:r>
        <w:t xml:space="preserve">.</w:t>
      </w:r>
    </w:p>
    <w:bookmarkEnd w:id="71"/>
    <w:bookmarkStart w:id="73"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72">
        <w:r>
          <w:rPr>
            <w:rStyle w:val="Hyperlink"/>
          </w:rPr>
          <w:t xml:space="preserve">https://doi.org/10.48550/arXiv.2606.02800</w:t>
        </w:r>
      </w:hyperlink>
      <w:r>
        <w:t xml:space="preserve">.</w:t>
      </w:r>
    </w:p>
    <w:bookmarkEnd w:id="73"/>
    <w:bookmarkStart w:id="75"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74">
        <w:r>
          <w:rPr>
            <w:rStyle w:val="Hyperlink"/>
          </w:rPr>
          <w:t xml:space="preserve">https://huggingface.co/nvidia/Cosmos3-Nano-Policy-DROID</w:t>
        </w:r>
      </w:hyperlink>
      <w:r>
        <w:t xml:space="preserve">.</w:t>
      </w:r>
    </w:p>
    <w:bookmarkEnd w:id="75"/>
    <w:bookmarkStart w:id="77" w:name="ref-pearl2001direct"/>
    <w:p>
      <w:pPr>
        <w:pStyle w:val="Bibliography"/>
      </w:pPr>
      <w:r>
        <w:t xml:space="preserve">Pearl, Judea. 2001.</w:t>
      </w:r>
      <w:r>
        <w:t xml:space="preserve"> </w:t>
      </w:r>
      <w:r>
        <w:t xml:space="preserve">“Direct and Indirect Effects.”</w:t>
      </w:r>
      <w:r>
        <w:t xml:space="preserve"> </w:t>
      </w:r>
      <w:r>
        <w:rPr>
          <w:i/>
          <w:iCs/>
        </w:rPr>
        <w:t xml:space="preserve">Proceedings of the Seventeenth Conference on Uncertainty in Artificial Intelligence</w:t>
      </w:r>
      <w:r>
        <w:t xml:space="preserve"> </w:t>
      </w:r>
      <w:r>
        <w:t xml:space="preserve">(San Francisco, CA), 411–20.</w:t>
      </w:r>
      <w:r>
        <w:t xml:space="preserve"> </w:t>
      </w:r>
      <w:hyperlink r:id="rId76">
        <w:r>
          <w:rPr>
            <w:rStyle w:val="Hyperlink"/>
          </w:rPr>
          <w:t xml:space="preserve">https://ftp.cs.ucla.edu/pub/stat_ser/R273.pdf</w:t>
        </w:r>
      </w:hyperlink>
      <w:r>
        <w:t xml:space="preserve">.</w:t>
      </w:r>
    </w:p>
    <w:bookmarkEnd w:id="77"/>
    <w:bookmarkStart w:id="79"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78">
        <w:r>
          <w:rPr>
            <w:rStyle w:val="Hyperlink"/>
          </w:rPr>
          <w:t xml:space="preserve">https://doi.org/10.48550/arXiv.2606.12217</w:t>
        </w:r>
      </w:hyperlink>
      <w:r>
        <w:t xml:space="preserve">.</w:t>
      </w:r>
    </w:p>
    <w:bookmarkEnd w:id="79"/>
    <w:bookmarkStart w:id="81"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0">
        <w:r>
          <w:rPr>
            <w:rStyle w:val="Hyperlink"/>
          </w:rPr>
          <w:t xml:space="preserve">https://doi.org/10.48550/arXiv.2606.27510</w:t>
        </w:r>
      </w:hyperlink>
      <w:r>
        <w:t xml:space="preserve">.</w:t>
      </w:r>
    </w:p>
    <w:bookmarkEnd w:id="81"/>
    <w:bookmarkStart w:id="83"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82">
        <w:r>
          <w:rPr>
            <w:rStyle w:val="Hyperlink"/>
          </w:rPr>
          <w:t xml:space="preserve">https://doi.org/10.15607/RSS.2026.XXII.096</w:t>
        </w:r>
      </w:hyperlink>
      <w:r>
        <w:t xml:space="preserve">.</w:t>
      </w:r>
    </w:p>
    <w:bookmarkEnd w:id="83"/>
    <w:bookmarkStart w:id="85"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84">
        <w:r>
          <w:rPr>
            <w:rStyle w:val="Hyperlink"/>
          </w:rPr>
          <w:t xml:space="preserve">https://doi.org/10.48550/arXiv.2603.16666</w:t>
        </w:r>
      </w:hyperlink>
      <w:r>
        <w:t xml:space="preserve">.</w:t>
      </w:r>
    </w:p>
    <w:bookmarkEnd w:id="85"/>
    <w:bookmarkStart w:id="87"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86">
        <w:r>
          <w:rPr>
            <w:rStyle w:val="Hyperlink"/>
          </w:rPr>
          <w:t xml:space="preserve">https://doi.org/10.48550/arXiv.2608.11521</w:t>
        </w:r>
      </w:hyperlink>
      <w:r>
        <w:t xml:space="preserve">.</w:t>
      </w:r>
    </w:p>
    <w:bookmarkEnd w:id="87"/>
    <w:bookmarkStart w:id="89"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88">
        <w:r>
          <w:rPr>
            <w:rStyle w:val="Hyperlink"/>
          </w:rPr>
          <w:t xml:space="preserve">https://openreview.net/forum?id=Hf17y6u9BC</w:t>
        </w:r>
      </w:hyperlink>
      <w:r>
        <w:t xml:space="preserve">.</w:t>
      </w:r>
    </w:p>
    <w:bookmarkEnd w:id="89"/>
    <w:bookmarkStart w:id="91"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90">
        <w:r>
          <w:rPr>
            <w:rStyle w:val="Hyperlink"/>
          </w:rPr>
          <w:t xml:space="preserve">https://doi.org/10.48550/arXiv.2608.04404</w:t>
        </w:r>
      </w:hyperlink>
      <w:r>
        <w:t xml:space="preserve">.</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31" Target="media/rId31.png" /><Relationship Type="http://schemas.openxmlformats.org/officeDocument/2006/relationships/hyperlink" Id="rId50" Target="https://arxiv.org/abs/1812.00568" TargetMode="External" /><Relationship Type="http://schemas.openxmlformats.org/officeDocument/2006/relationships/hyperlink" Id="rId52" Target="https://doi.org/10.1111/j.1467-9868.2007.00593.x" TargetMode="External" /><Relationship Type="http://schemas.openxmlformats.org/officeDocument/2006/relationships/hyperlink" Id="rId62" Target="https://doi.org/10.1177/1948550617697177" TargetMode="External" /><Relationship Type="http://schemas.openxmlformats.org/officeDocument/2006/relationships/hyperlink" Id="rId70" Target="https://doi.org/10.15607/RSS.2024.XX.050" TargetMode="External" /><Relationship Type="http://schemas.openxmlformats.org/officeDocument/2006/relationships/hyperlink" Id="rId82" Target="https://doi.org/10.15607/RSS.2026.XXII.096" TargetMode="External" /><Relationship Type="http://schemas.openxmlformats.org/officeDocument/2006/relationships/hyperlink" Id="rId54" Target="https://doi.org/10.48550/arXiv.2304.05969" TargetMode="External" /><Relationship Type="http://schemas.openxmlformats.org/officeDocument/2006/relationships/hyperlink" Id="rId64" Target="https://doi.org/10.48550/arXiv.2503.00200" TargetMode="External" /><Relationship Type="http://schemas.openxmlformats.org/officeDocument/2006/relationships/hyperlink" Id="rId84" Target="https://doi.org/10.48550/arXiv.2603.16666" TargetMode="External" /><Relationship Type="http://schemas.openxmlformats.org/officeDocument/2006/relationships/hyperlink" Id="rId72" Target="https://doi.org/10.48550/arXiv.2606.02800" TargetMode="External" /><Relationship Type="http://schemas.openxmlformats.org/officeDocument/2006/relationships/hyperlink" Id="rId78" Target="https://doi.org/10.48550/arXiv.2606.12217" TargetMode="External" /><Relationship Type="http://schemas.openxmlformats.org/officeDocument/2006/relationships/hyperlink" Id="rId80" Target="https://doi.org/10.48550/arXiv.2606.27510" TargetMode="External" /><Relationship Type="http://schemas.openxmlformats.org/officeDocument/2006/relationships/hyperlink" Id="rId90" Target="https://doi.org/10.48550/arXiv.2608.04404" TargetMode="External" /><Relationship Type="http://schemas.openxmlformats.org/officeDocument/2006/relationships/hyperlink" Id="rId86" Target="https://doi.org/10.48550/arXiv.2608.11521" TargetMode="External" /><Relationship Type="http://schemas.openxmlformats.org/officeDocument/2006/relationships/hyperlink" Id="rId68" Target="https://doi.org/10.52202/068431-1262" TargetMode="External" /><Relationship Type="http://schemas.openxmlformats.org/officeDocument/2006/relationships/hyperlink" Id="rId66" Target="https://doi.org/10.52202/075280-1939" TargetMode="External" /><Relationship Type="http://schemas.openxmlformats.org/officeDocument/2006/relationships/hyperlink" Id="rId56" Target="https://doi.org/10.52202/079017-3570" TargetMode="External" /><Relationship Type="http://schemas.openxmlformats.org/officeDocument/2006/relationships/hyperlink" Id="rId76" Target="https://ftp.cs.ucla.edu/pub/stat_ser/R273.pdf" TargetMode="External" /><Relationship Type="http://schemas.openxmlformats.org/officeDocument/2006/relationships/hyperlink" Id="rId74" Target="https://huggingface.co/nvidia/Cosmos3-Nano-Policy-DROID" TargetMode="External" /><Relationship Type="http://schemas.openxmlformats.org/officeDocument/2006/relationships/hyperlink" Id="rId44" Target="https://neurips.cc/public/EthicsGuidelines" TargetMode="External" /><Relationship Type="http://schemas.openxmlformats.org/officeDocument/2006/relationships/hyperlink" Id="rId43" Target="https://neurips.cc/public/guides/CodeSubmissionPolicy" TargetMode="External" /><Relationship Type="http://schemas.openxmlformats.org/officeDocument/2006/relationships/hyperlink" Id="rId48" Target="https://openreview.net/forum?id=9pKtcJcMP3" TargetMode="External" /><Relationship Type="http://schemas.openxmlformats.org/officeDocument/2006/relationships/hyperlink" Id="rId88" Target="https://openreview.net/forum?id=Hf17y6u9BC" TargetMode="External" /><Relationship Type="http://schemas.openxmlformats.org/officeDocument/2006/relationships/hyperlink" Id="rId60" Target="https://openreview.net/forum?id=wPEIStHxYH" TargetMode="External" /><Relationship Type="http://schemas.openxmlformats.org/officeDocument/2006/relationships/hyperlink" Id="rId58" Target="https://proceedings.mlr.press/v267/hu25g.html" TargetMode="External" /><Relationship Type="http://schemas.openxmlformats.org/officeDocument/2006/relationships/hyperlink" Id="rId46" Target="https://proceedings.neurips.cc/paper_files/paper/2023/hash/1d5b9233ad716a43be5c0d3023cb82d0-Abstract.html" TargetMode="External" /><Relationship Type="http://schemas.openxmlformats.org/officeDocument/2006/relationships/hyperlink" Id="rId45" Target="paperswithcode.com/datasets" TargetMode="External" /></Relationships>
</file>

<file path=word/_rels/footnotes.xml.rels><?xml version="1.0" encoding="UTF-8"?><Relationships xmlns="http://schemas.openxmlformats.org/package/2006/relationships"><Relationship Type="http://schemas.openxmlformats.org/officeDocument/2006/relationships/hyperlink" Id="rId50" Target="https://arxiv.org/abs/1812.00568" TargetMode="External" /><Relationship Type="http://schemas.openxmlformats.org/officeDocument/2006/relationships/hyperlink" Id="rId52" Target="https://doi.org/10.1111/j.1467-9868.2007.00593.x" TargetMode="External" /><Relationship Type="http://schemas.openxmlformats.org/officeDocument/2006/relationships/hyperlink" Id="rId62" Target="https://doi.org/10.1177/1948550617697177" TargetMode="External" /><Relationship Type="http://schemas.openxmlformats.org/officeDocument/2006/relationships/hyperlink" Id="rId70" Target="https://doi.org/10.15607/RSS.2024.XX.050" TargetMode="External" /><Relationship Type="http://schemas.openxmlformats.org/officeDocument/2006/relationships/hyperlink" Id="rId82" Target="https://doi.org/10.15607/RSS.2026.XXII.096" TargetMode="External" /><Relationship Type="http://schemas.openxmlformats.org/officeDocument/2006/relationships/hyperlink" Id="rId54" Target="https://doi.org/10.48550/arXiv.2304.05969" TargetMode="External" /><Relationship Type="http://schemas.openxmlformats.org/officeDocument/2006/relationships/hyperlink" Id="rId64" Target="https://doi.org/10.48550/arXiv.2503.00200" TargetMode="External" /><Relationship Type="http://schemas.openxmlformats.org/officeDocument/2006/relationships/hyperlink" Id="rId84" Target="https://doi.org/10.48550/arXiv.2603.16666" TargetMode="External" /><Relationship Type="http://schemas.openxmlformats.org/officeDocument/2006/relationships/hyperlink" Id="rId72" Target="https://doi.org/10.48550/arXiv.2606.02800" TargetMode="External" /><Relationship Type="http://schemas.openxmlformats.org/officeDocument/2006/relationships/hyperlink" Id="rId78" Target="https://doi.org/10.48550/arXiv.2606.12217" TargetMode="External" /><Relationship Type="http://schemas.openxmlformats.org/officeDocument/2006/relationships/hyperlink" Id="rId80" Target="https://doi.org/10.48550/arXiv.2606.27510" TargetMode="External" /><Relationship Type="http://schemas.openxmlformats.org/officeDocument/2006/relationships/hyperlink" Id="rId90" Target="https://doi.org/10.48550/arXiv.2608.04404" TargetMode="External" /><Relationship Type="http://schemas.openxmlformats.org/officeDocument/2006/relationships/hyperlink" Id="rId86" Target="https://doi.org/10.48550/arXiv.2608.11521" TargetMode="External" /><Relationship Type="http://schemas.openxmlformats.org/officeDocument/2006/relationships/hyperlink" Id="rId68" Target="https://doi.org/10.52202/068431-1262" TargetMode="External" /><Relationship Type="http://schemas.openxmlformats.org/officeDocument/2006/relationships/hyperlink" Id="rId66" Target="https://doi.org/10.52202/075280-1939" TargetMode="External" /><Relationship Type="http://schemas.openxmlformats.org/officeDocument/2006/relationships/hyperlink" Id="rId56" Target="https://doi.org/10.52202/079017-3570" TargetMode="External" /><Relationship Type="http://schemas.openxmlformats.org/officeDocument/2006/relationships/hyperlink" Id="rId76" Target="https://ftp.cs.ucla.edu/pub/stat_ser/R273.pdf" TargetMode="External" /><Relationship Type="http://schemas.openxmlformats.org/officeDocument/2006/relationships/hyperlink" Id="rId74" Target="https://huggingface.co/nvidia/Cosmos3-Nano-Policy-DROID" TargetMode="External" /><Relationship Type="http://schemas.openxmlformats.org/officeDocument/2006/relationships/hyperlink" Id="rId44" Target="https://neurips.cc/public/EthicsGuidelines" TargetMode="External" /><Relationship Type="http://schemas.openxmlformats.org/officeDocument/2006/relationships/hyperlink" Id="rId43" Target="https://neurips.cc/public/guides/CodeSubmissionPolicy" TargetMode="External" /><Relationship Type="http://schemas.openxmlformats.org/officeDocument/2006/relationships/hyperlink" Id="rId48" Target="https://openreview.net/forum?id=9pKtcJcMP3" TargetMode="External" /><Relationship Type="http://schemas.openxmlformats.org/officeDocument/2006/relationships/hyperlink" Id="rId88" Target="https://openreview.net/forum?id=Hf17y6u9BC" TargetMode="External" /><Relationship Type="http://schemas.openxmlformats.org/officeDocument/2006/relationships/hyperlink" Id="rId60" Target="https://openreview.net/forum?id=wPEIStHxYH" TargetMode="External" /><Relationship Type="http://schemas.openxmlformats.org/officeDocument/2006/relationships/hyperlink" Id="rId58" Target="https://proceedings.mlr.press/v267/hu25g.html" TargetMode="External" /><Relationship Type="http://schemas.openxmlformats.org/officeDocument/2006/relationships/hyperlink" Id="rId46" Target="https://proceedings.neurips.cc/paper_files/paper/2023/hash/1d5b9233ad716a43be5c0d3023cb82d0-Abstract.html" TargetMode="External" /><Relationship Type="http://schemas.openxmlformats.org/officeDocument/2006/relationships/hyperlink" Id="rId45" Target="paperswithcode.com/datas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World Action Models Use Their Predicted Futures?</dc:title>
  <dc:creator>Nicole Ma</dc:creator>
  <cp:keywords/>
  <dcterms:created xsi:type="dcterms:W3CDTF">2026-09-02T06:42:24Z</dcterms:created>
  <dcterms:modified xsi:type="dcterms:W3CDTF">2026-09-02T06:42:24Z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World action models generate predicted future observations together with robot actions, but it remains unclear whether those futures influence action generation. We introduce future transplantation to test this directly. From the same simulator state, we sample two continuations and recompute one after replacing its future representation with the other’s, while holding the current inputs and sampling noise fixed. We then ask whether the recomputed action and its one-chunk simulator endpoint move toward the behavior paired with the donor future. In Cosmos Policy, at the first policy query in each of ten LIBERO-10 tasks, donor futures increase action projection by 0.499 and endpoint projection by 0.552 relative to self-future recomputation. Effects are much smaller at later sampled states. Camera-future replacements also steer actions, whereas future proprioception and isolated object-state changes have near-zero effects. This pattern is consistent with sensitivity to camera-visible robot motion. In Cosmos 3, transplanted futures steer actions and endpoints across four RoboLab states. Replacing future-token keys and values wherever action tokens directly attend to future tokens reduces the action shift by 0.842 projection units on four calibration states and substantially attenuates it in one held-out state. These results show that generated future content can influence WAM actions. They do not establish that either model compares predicted task outcomes or performs planning.</vt:lpwstr>
  </property>
  <property fmtid="{D5CDD505-2E9C-101B-9397-08002B2CF9AE}" pid="3" name="bibliography">
    <vt:lpwstr/>
  </property>
</Properties>
</file>