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World action models generate future observations alongside robot actions, but the causal role of these generated futures remains unclear: they may guide action selection or merely accompany actions computed through another route. Prior work finds that corrupting future features degrades performance, but destructive perturbations cannot establish whether coherent future content directionally controls behavior rather than causing generic distribution shift. We investigate this problem through three questions. First, do coherent alternative futures directionally steer actions and their resulting simulator endpoints? Second, what information within those futures is sufficient to produce this effect? Third, through which internal pathway does future information influence action? We introduce reachable-donor future transplantation, which exchanges policy-generated futures between two continuations from the same restored state while holding the recipient’s observation, instruction, and random draws fixed. Unlike destructive ablations, this intervention predicts a specific direction in which behavior should change. Donor futures nearly completely redirect Cosmos 3 actions and endpoints toward the donor continuation across 22 states and six RoboLab tasks; Cosmos Policy shows related early-state steering across all ten LIBERO-Long tasks. Cosmos Policy responds primarily to camera-visible robot motion, whereas neither robot-only nor object-only pixels are sufficient to reproduce Cosmos 3’s whole-future effect. Finally, replacing donor-future attention keys and values with self-future counterparts removes 83–88% of Cosmos 3 steering in every tested state. Together, these results establish content-specific future conditioning in both policies while revealing different mechanistic signatures: camera-visible robot motion is the leading account for Cosmos Policy, whereas Cosmos 3 requires more than either isolated robot or object pixels and transmits most donor-specific influence through future-token attention keys and values.</w:t>
      </w:r>
    </w:p>
    <w:bookmarkStart w:id="13" w:name="sec:introduction"/>
    <w:p>
      <w:pPr>
        <w:pStyle w:val="Heading1"/>
      </w:pPr>
      <w:r>
        <w:rPr>
          <w:rStyle w:val="SectionNumber"/>
        </w:rPr>
        <w:t xml:space="preserve">1</w:t>
      </w:r>
      <w:r>
        <w:tab/>
      </w:r>
      <w:r>
        <w:t xml:space="preserve">Introduction</w:t>
      </w:r>
    </w:p>
    <w:p>
      <w:pPr>
        <w:pStyle w:val="FirstParagraph"/>
      </w:pPr>
      <w:r>
        <w:t xml:space="preserve">World action models (WAMs) generate future observations alongside robot actions</w:t>
      </w:r>
      <w:r>
        <w:t xml:space="preserve"> </w:t>
      </w:r>
      <w:r>
        <w:t xml:space="preserve">(Kim et al. 2026; NVIDIA 2026a)</w:t>
      </w:r>
      <w:r>
        <w:t xml:space="preserve">, but joint generation does not imply causal use. Futures might be auxiliary outputs, a generic workspace, an inverse-dynamics input such as prospective robot pose</w:t>
      </w:r>
      <w:r>
        <w:t xml:space="preserve"> </w:t>
      </w:r>
      <w:r>
        <w:t xml:space="preserve">(Hu et al. 2025; Du et al. 2023)</w:t>
      </w:r>
      <w:r>
        <w:t xml:space="preserve">, or predicted consequences used to compare actions</w:t>
      </w:r>
      <w:r>
        <w:t xml:space="preserve"> </w:t>
      </w:r>
      <w:r>
        <w:t xml:space="preserve">(Ebert et al. 2018; Du et al. 2024)</w:t>
      </w:r>
      <w:r>
        <w:t xml:space="preserve">. Content-specific conditioning alone would not establish outcome comparison. We study direct-policy inference in Cosmos Policy and the diffusion generator in Cosmos3-Nano-Policy-DROID; neither procedure samples and scores multiple candidate actions.</w:t>
      </w:r>
    </w:p>
    <w:p>
      <w:pPr>
        <w:pStyle w:val="BodyText"/>
      </w:pPr>
      <w:r>
        <w:t xml:space="preserve">RIFT showed that masking or editing future-position values changes WAM trajectories and success</w:t>
      </w:r>
      <w:r>
        <w:t xml:space="preserve"> </w:t>
      </w:r>
      <w:r>
        <w:t xml:space="preserve">(Zhang et al. 2026)</w:t>
      </w:r>
      <w:r>
        <w:t xml:space="preserve">. Such destructive interventions establish dependence, but damage can change an action arbitrarily and therefore does not distinguish generic disruption from content-specific use.</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whether coherent futures steer behavior, which content suffices, and which interface carries the effect. Cosmos 3 steering generalizes across 22 states, is not reproduced by isolated robot or object pixels, and is suppressed by future-token K/V replacement. Cosmos Policy effects concentrate at early states and are most consistent with camera-visible robot motion. This supports future-dependent action generation, not candidate search or planning.</w:t>
      </w:r>
    </w:p>
    <w:bookmarkStart w:id="12" w:name="fig:overview"/>
    <w:p>
      <w:pPr>
        <w:pStyle w:val="CaptionedFigure"/>
      </w:pPr>
      <w:r>
        <w:drawing>
          <wp:inline>
            <wp:extent cx="4160520" cy="173355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4160520" cy="1733550"/>
                    </a:xfrm>
                    <a:prstGeom prst="rect">
                      <a:avLst/>
                    </a:prstGeom>
                    <a:noFill/>
                    <a:ln w="9525">
                      <a:noFill/>
                      <a:headEnd/>
                      <a:tailEnd/>
                    </a:ln>
                  </pic:spPr>
                </pic:pic>
              </a:graphicData>
            </a:graphic>
          </wp:inline>
        </w:drawing>
      </w:r>
    </w:p>
    <w:p>
      <w:pPr>
        <w:pStyle w:val="ImageCaption"/>
      </w:pPr>
      <w:r>
        <w:t xml:space="preserve">Reachable-donor transplantation. Two native continuations share a restored state; only the donor future is substituted. The withheld donor action defines signed movement from recipient (0) toward donor (1). Self-future K/V replacement tests the pathway.</w:t>
      </w:r>
    </w:p>
    <w:bookmarkEnd w:id="12"/>
    <w:bookmarkEnd w:id="13"/>
    <w:bookmarkStart w:id="16" w:name="sec:related"/>
    <w:p>
      <w:pPr>
        <w:pStyle w:val="Heading1"/>
      </w:pPr>
      <w:r>
        <w:rPr>
          <w:rStyle w:val="SectionNumber"/>
        </w:rPr>
        <w:t xml:space="preserve">2</w:t>
      </w:r>
      <w:r>
        <w:tab/>
      </w:r>
      <w:r>
        <w:t xml:space="preserve">Related Work</w:t>
      </w:r>
    </w:p>
    <w:bookmarkStart w:id="14" w:name="prediction-and-control."/>
    <w:p>
      <w:pPr>
        <w:pStyle w:val="Heading4"/>
      </w:pPr>
      <w:r>
        <w:rPr>
          <w:rStyle w:val="SectionNumber"/>
        </w:rPr>
        <w:t xml:space="preserve">2.0.0.1</w:t>
      </w:r>
      <w:r>
        <w:tab/>
      </w: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(Du et al. 2023; Hu et al. 2025)</w:t>
      </w:r>
      <w:r>
        <w:t xml:space="preserve">. Joint video–action models instead learn future observations and controls in one model</w:t>
      </w:r>
      <w:r>
        <w:t xml:space="preserve"> </w:t>
      </w:r>
      <w:r>
        <w:t xml:space="preserve">(Guo et al. 2024; Li et al. 2025; Kim et al. 2026; NVIDIA 2026a; Ye et al. 2026)</w:t>
      </w:r>
      <w:r>
        <w:t xml:space="preserve">. Their training objective does not determine whether a particular generated future is used at inference. UVA, for example, can omit video generation at test time</w:t>
      </w:r>
      <w:r>
        <w:t xml:space="preserve"> </w:t>
      </w:r>
      <w:r>
        <w:t xml:space="preserve">(Li et al. 2025)</w:t>
      </w:r>
      <w:r>
        <w:t xml:space="preserve">. Explicit visual planners answer a different question by sampling alternatives, predicting their outcomes, and comparing them with a goal-dependent score</w:t>
      </w:r>
      <w:r>
        <w:t xml:space="preserve"> </w:t>
      </w:r>
      <w:r>
        <w:t xml:space="preserve">(Ebert et al. 2018; Du et al. 2024)</w:t>
      </w:r>
      <w:r>
        <w:t xml:space="preserve">.</w:t>
      </w:r>
    </w:p>
    <w:p>
      <w:pPr>
        <w:pStyle w:val="BodyText"/>
      </w:pPr>
      <w:r>
        <w:t xml:space="preserve">Recent studies separate predictive training from using predictions at inference. Fast-WAM removes explicit test-time rollout</w:t>
      </w:r>
      <w:r>
        <w:t xml:space="preserve"> </w:t>
      </w:r>
      <w:r>
        <w:t xml:space="preserve">(Yuan et al. 2026)</w:t>
      </w:r>
      <w:r>
        <w:t xml:space="preserve">; Faster-WAM retains a cheaper conditioning route</w:t>
      </w:r>
      <w:r>
        <w:t xml:space="preserve"> </w:t>
      </w:r>
      <w:r>
        <w:t xml:space="preserve">(Zhao et al. 2026)</w:t>
      </w:r>
      <w:r>
        <w:t xml:space="preserve">; and AGRA finds that plausible foresight need not support reliable action inference</w:t>
      </w:r>
      <w:r>
        <w:t xml:space="preserve"> </w:t>
      </w:r>
      <w:r>
        <w:t xml:space="preserve">(Qiu et al. 2026)</w:t>
      </w:r>
      <w:r>
        <w:t xml:space="preserve">. RIFT establishes dependence on organized future-position values</w:t>
      </w:r>
      <w:r>
        <w:t xml:space="preserve"> </w:t>
      </w:r>
      <w:r>
        <w:t xml:space="preserve">(Zhang et al. 2026)</w:t>
      </w:r>
      <w:r>
        <w:t xml:space="preserve">; we ask whether a coherent alternative predicts the direction of behavior.</w:t>
      </w:r>
    </w:p>
    <w:bookmarkEnd w:id="14"/>
    <w:bookmarkStart w:id="15" w:name="mechanistic-interventions."/>
    <w:p>
      <w:pPr>
        <w:pStyle w:val="Heading4"/>
      </w:pPr>
      <w:r>
        <w:rPr>
          <w:rStyle w:val="SectionNumber"/>
        </w:rPr>
        <w:t xml:space="preserve">2.0.0.2</w:t>
      </w:r>
      <w:r>
        <w:tab/>
      </w:r>
      <w:r>
        <w:t xml:space="preserve">Mechanistic interventions.</w:t>
      </w:r>
    </w:p>
    <w:p>
      <w:pPr>
        <w:pStyle w:val="FirstParagraph"/>
      </w:pPr>
      <w:r>
        <w:t xml:space="preserve">Activation replacement tests causal influence, and path patching restricts it to specified routes</w:t>
      </w:r>
      <w:r>
        <w:t xml:space="preserve"> </w:t>
      </w:r>
      <w:r>
        <w:t xml:space="preserve">(Vig et al. 2020; Meng et al. 2022; Goldowsky-Dill et al. 2023)</w:t>
      </w:r>
      <w:r>
        <w:t xml:space="preserve">. Results depend on the counterfactual and metric, while routes can interact</w:t>
      </w:r>
      <w:r>
        <w:t xml:space="preserve"> </w:t>
      </w:r>
      <w:r>
        <w:t xml:space="preserve">(Zhang and Nanda 2024; Vaidyanathan et al. 2026)</w:t>
      </w:r>
      <w:r>
        <w:t xml:space="preserve">; we therefore interpret K/V replacement as an active pathway, not a complete circuit.</w:t>
      </w:r>
    </w:p>
    <w:bookmarkEnd w:id="15"/>
    <w:bookmarkEnd w:id="16"/>
    <w:bookmarkStart w:id="24" w:name="sec:methods"/>
    <w:p>
      <w:pPr>
        <w:pStyle w:val="Heading1"/>
      </w:pPr>
      <w:r>
        <w:rPr>
          <w:rStyle w:val="SectionNumber"/>
        </w:rPr>
        <w:t xml:space="preserve">3</w:t>
      </w:r>
      <w:r>
        <w:tab/>
      </w:r>
      <w:r>
        <w:t xml:space="preserve">Methods</w:t>
      </w:r>
    </w:p>
    <w:bookmarkStart w:id="17" w:name="Xf0705b5aec3ba6ca91c2cc5d339e58d96b08c49"/>
    <w:p>
      <w:pPr>
        <w:pStyle w:val="Heading2"/>
      </w:pPr>
      <w:r>
        <w:rPr>
          <w:rStyle w:val="SectionNumber"/>
        </w:rPr>
        <w:t xml:space="preserve">3.1</w:t>
      </w:r>
      <w:r>
        <w:tab/>
      </w: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rPr>
          <w:rStyle w:val="SectionNumber"/>
        </w:rPr>
        <w:t xml:space="preserve">3.2</w:t>
      </w:r>
      <w:r>
        <w:tab/>
      </w:r>
      <w:r>
        <w:t xml:space="preserve">Models, populations, and controls</w:t>
      </w:r>
    </w:p>
    <w:bookmarkStart w:id="18" w:name="cosmos-policy."/>
    <w:p>
      <w:pPr>
        <w:keepNext/>
        <w:spacing w:before="160" w:after="40"/>
      </w:pPr>
      <w:r>
        <w:rPr>
          <w:b/>
          <w:i w:val="0"/>
          <w:color w:val="1F637D"/>
        </w:rPr>
        <w:t>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(Kim et al. 2026; Liu et al. 2023)</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keepNext/>
        <w:spacing w:before="160" w:after="40"/>
      </w:pPr>
      <w:r>
        <w:rPr>
          <w:b/>
          <w:i w:val="0"/>
          <w:color w:val="1F637D"/>
        </w:rPr>
        <w:t>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(NVIDIA 2026a, 2026b; Yang et al. 2026)</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rPr>
          <w:rStyle w:val="SectionNumber"/>
        </w:rPr>
        <w:t xml:space="preserve">3.3</w:t>
      </w:r>
      <w:r>
        <w:tab/>
      </w: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rPr>
          <w:rStyle w:val="SectionNumber"/>
        </w:rPr>
        <w:t xml:space="preserve">3.4</w:t>
      </w:r>
      <w:r>
        <w:tab/>
      </w: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rPr>
          <w:rStyle w:val="SectionNumber"/>
        </w:rPr>
        <w:t xml:space="preserve">3.5</w:t>
      </w:r>
      <w:r>
        <w:tab/>
      </w: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(Field and Welsh 2007)</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(Lakens 2017)</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54" w:name="sec:results"/>
    <w:p>
      <w:pPr>
        <w:pStyle w:val="Heading1"/>
      </w:pPr>
      <w:r>
        <w:rPr>
          <w:rStyle w:val="SectionNumber"/>
        </w:rPr>
        <w:t xml:space="preserve">4</w:t>
      </w:r>
      <w:r>
        <w:tab/>
      </w:r>
      <w:r>
        <w:t xml:space="preserve">Results</w:t>
      </w:r>
    </w:p>
    <w:bookmarkStart w:id="32" w:name="sec:steering"/>
    <w:p>
      <w:pPr>
        <w:pStyle w:val="Heading2"/>
      </w:pPr>
      <w:r>
        <w:rPr>
          <w:rStyle w:val="SectionNumber"/>
        </w:rPr>
        <w:t xml:space="preserve">4.1</w:t>
      </w:r>
      <w:r>
        <w:tab/>
      </w: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separates the two statistical questions. Panel a reports donor-minus-self steering, for which positive values indicate movement toward the paired donor and 1 denotes the full native recipient-to-donor displacement. Panel b reports donor-minus-control contrasts, for which positive values mean that the paired donor steers behavior more strongly than the stated control.</w:t>
      </w:r>
    </w:p>
    <w:bookmarkStart w:id="26" w:name="cosmos-3.-1"/>
    <w:p>
      <w:pPr>
        <w:keepNext/>
        <w:spacing w:before="160" w:after="40"/>
      </w:pPr>
      <w:r>
        <w:rPr>
          <w:b/>
          <w:i w:val="0"/>
          <w:color w:val="1F637D"/>
        </w:rPr>
        <w:t>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The corresponding endpoint projections are</w:t>
      </w:r>
      <w:r>
        <w:t xml:space="preserve"> </w:t>
      </w:r>
      <m:oMath>
        <m:r>
          <m:t>0.514</m:t>
        </m:r>
      </m:oMath>
      <w:r>
        <w:t xml:space="preserve"> </w:t>
      </w:r>
      <w:r>
        <w:t xml:space="preserve">(</w:t>
      </w:r>
      <m:oMath>
        <m:r>
          <m:rPr>
            <m:sty m:val="p"/>
          </m:rPr>
          <m:t>[</m:t>
        </m:r>
        <m:r>
          <m:t>0.387</m:t>
        </m:r>
        <m:r>
          <m:rPr>
            <m:sty m:val="p"/>
          </m:rPr>
          <m:t>,</m:t>
        </m:r>
        <m:r>
          <m:t>0.642</m:t>
        </m:r>
        <m:r>
          <m:rPr>
            <m:sty m:val="p"/>
          </m:rPr>
          <m:t>]</m:t>
        </m:r>
      </m:oMath>
      <w:r>
        <w:t xml:space="preserve">) for the natural control and −0.041 (</w:t>
      </w:r>
      <m:oMath>
        <m:r>
          <m:rPr>
            <m:sty m:val="p"/>
          </m:rPr>
          <m:t>[</m:t>
        </m:r>
        <m:r>
          <m:rPr>
            <m:sty m:val="p"/>
          </m:rPr>
          <m:t>−</m:t>
        </m:r>
        <m:r>
          <m:t>0.168</m:t>
        </m:r>
        <m:r>
          <m:rPr>
            <m:sty m:val="p"/>
          </m:rPr>
          <m:t>,</m:t>
        </m:r>
        <m:r>
          <m:t>0.054</m:t>
        </m:r>
        <m:r>
          <m:rPr>
            <m:sty m:val="p"/>
          </m:rPr>
          <m:t>]</m:t>
        </m:r>
      </m:oMath>
      <w:r>
        <w:t xml:space="preserve">) for the matched Gaussian. In paired secondary analyses, the donor therefore exceeds the natural endpoint control by</w:t>
      </w:r>
      <w:r>
        <w:t xml:space="preserve"> </w:t>
      </w:r>
      <m:oMath>
        <m:r>
          <m:t>0.488</m:t>
        </m:r>
      </m:oMath>
      <w:r>
        <w:t xml:space="preserve"> </w:t>
      </w:r>
      <w:r>
        <w:t xml:space="preserve">(</w:t>
      </w:r>
      <m:oMath>
        <m:r>
          <m:rPr>
            <m:sty m:val="p"/>
          </m:rPr>
          <m:t>[</m:t>
        </m:r>
        <m:r>
          <m:t>0.348</m:t>
        </m:r>
        <m:r>
          <m:rPr>
            <m:sty m:val="p"/>
          </m:rPr>
          <m:t>,</m:t>
        </m:r>
        <m:r>
          <m:t>0.631</m:t>
        </m:r>
        <m:r>
          <m:rPr>
            <m:sty m:val="p"/>
          </m:rPr>
          <m:t>]</m:t>
        </m:r>
      </m:oMath>
      <w:r>
        <w:t xml:space="preserve">; 21/22 states positive) and the Gaussian endpoint control by</w:t>
      </w:r>
      <w:r>
        <w:t xml:space="preserve"> </w:t>
      </w:r>
      <m:oMath>
        <m:r>
          <m:t>1.043</m:t>
        </m:r>
      </m:oMath>
      <w:r>
        <w:t xml:space="preserve"> </w:t>
      </w:r>
      <w:r>
        <w:t xml:space="preserve">(</w:t>
      </w:r>
      <m:oMath>
        <m:r>
          <m:rPr>
            <m:sty m:val="p"/>
          </m:rPr>
          <m:t>[</m:t>
        </m:r>
        <m:r>
          <m:t>0.946</m:t>
        </m:r>
        <m:r>
          <m:rPr>
            <m:sty m:val="p"/>
          </m:rPr>
          <m:t>,</m:t>
        </m:r>
        <m:r>
          <m:t>1.168</m:t>
        </m:r>
        <m:r>
          <m:rPr>
            <m:sty m:val="p"/>
          </m:rPr>
          <m:t>]</m:t>
        </m:r>
      </m:oMath>
      <w:r>
        <w:t xml:space="preserve">; 22/22). Thus, the result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Control projections are reconstructed within independent unit before bootstrapping; the two Cosmos 3 endpoint-control rows are secondary analyses.</w:t>
      </w:r>
    </w:p>
    <w:tbl>
      <w:tblPr>
        <w:tblStyle w:val="Table"/>
        <w:tblW w:type="dxa" w:w="9360"/>
        <w:jc w:val="left"/>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Control projections are reconstructed within independent unit before bootstrapping; the two Cosmos 3 endpoint-control rows are secondary analyses."/>
        <w:tblInd w:type="dxa" w:w="120"/>
      </w:tblPr>
      <w:tblGrid>
        <w:gridCol w:w="1350"/>
        <w:gridCol w:w="950"/>
        <w:gridCol w:w="850"/>
        <w:gridCol w:w="1700"/>
        <w:gridCol w:w="4510"/>
      </w:tblGrid>
      <w:tr>
        <w:trPr>
          <w:tblHeader w:val="on"/>
          <w:cantSplit/>
        </w:trPr>
        <w:tc>
          <w:tcPr>
            <w:tcW w:type="dxa" w:w="1350"/>
          </w:tcPr>
          <w:p>
            <w:pPr>
              <w:pStyle w:val="Compact"/>
              <w:spacing w:before="0" w:after="0" w:line="240" w:lineRule="auto"/>
              <w:jc w:val="left"/>
            </w:pPr>
            <w:r>
              <w:rPr>
                <w:sz w:val="14"/>
              </w:rPr>
              <w:t xml:space="preserve">Model</w:t>
            </w:r>
          </w:p>
        </w:tc>
        <w:tc>
          <w:tcPr>
            <w:tcW w:type="dxa" w:w="950"/>
          </w:tcPr>
          <w:p>
            <w:pPr>
              <w:pStyle w:val="Compact"/>
              <w:spacing w:before="0" w:after="0" w:line="240" w:lineRule="auto"/>
              <w:jc w:val="left"/>
            </w:pPr>
            <w:r>
              <w:rPr>
                <w:sz w:val="14"/>
              </w:rPr>
              <w:t xml:space="preserve">Source</w:t>
            </w:r>
          </w:p>
        </w:tc>
        <w:tc>
          <w:tcPr>
            <w:tcW w:type="dxa" w:w="850"/>
          </w:tcPr>
          <w:p>
            <w:pPr>
              <w:pStyle w:val="Compact"/>
              <w:spacing w:before="0" w:after="0" w:line="240" w:lineRule="auto"/>
              <w:jc w:val="left"/>
            </w:pPr>
            <w:r>
              <w:rPr>
                <w:sz w:val="14"/>
              </w:rPr>
              <w:t xml:space="preserve">Outcome</w:t>
            </w:r>
          </w:p>
        </w:tc>
        <w:tc>
          <w:tcPr>
            <w:tcW w:type="dxa" w:w="1700"/>
          </w:tcPr>
          <w:p>
            <w:pPr>
              <w:pStyle w:val="Compact"/>
              <w:spacing w:before="0" w:after="0" w:line="240" w:lineRule="auto"/>
              <w:jc w:val="left"/>
            </w:pPr>
            <w:r>
              <w:rPr>
                <w:sz w:val="14"/>
              </w:rPr>
              <w:t xml:space="preserve">Future inserted</w:t>
            </w:r>
          </w:p>
        </w:tc>
        <w:tc>
          <w:tcPr>
            <w:tcW w:type="dxa" w:w="4510"/>
          </w:tcPr>
          <w:p>
            <w:pPr>
              <w:pStyle w:val="Compact"/>
              <w:spacing w:before="0" w:after="0" w:line="240" w:lineRule="auto"/>
              <w:jc w:val="left"/>
            </w:pPr>
            <w:r>
              <w:rPr>
                <w:sz w:val="14"/>
              </w:rPr>
              <w:t xml:space="preserve">Projection [95% CI]</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Self</w:t>
            </w:r>
          </w:p>
        </w:tc>
        <w:tc>
          <w:tcPr>
            <w:tcW w:type="dxa" w:w="4510"/>
          </w:tcPr>
          <w:p>
            <w:pPr>
              <w:pStyle w:val="Compact"/>
              <w:spacing w:before="0" w:after="0" w:line="240" w:lineRule="auto"/>
              <w:jc w:val="left"/>
            </w:pPr>
            <w:r>
              <w:rPr>
                <w:sz w:val="14"/>
              </w:rPr>
              <w:t xml:space="preserve">0.000 (reference)</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Natural control</w:t>
            </w:r>
          </w:p>
        </w:tc>
        <w:tc>
          <w:tcPr>
            <w:tcW w:type="dxa" w:w="4510"/>
          </w:tcPr>
          <w:p>
            <w:pPr>
              <w:pStyle w:val="Compact"/>
              <w:spacing w:before="0" w:after="0" w:line="240" w:lineRule="auto"/>
              <w:jc w:val="left"/>
            </w:pPr>
            <w:r>
              <w:rPr>
                <w:sz w:val="14"/>
              </w:rPr>
              <w:t xml:space="preserve">0.559 [0.465, 0.651]</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b/>
                <w:bCs/>
                <w:sz w:val="14"/>
              </w:rPr>
              <w:t xml:space="preserve">Paired donor</w:t>
            </w:r>
          </w:p>
        </w:tc>
        <w:tc>
          <w:tcPr>
            <w:tcW w:type="dxa" w:w="4510"/>
          </w:tcPr>
          <w:p>
            <w:pPr>
              <w:pStyle w:val="Compact"/>
              <w:spacing w:before="0" w:after="0" w:line="240" w:lineRule="auto"/>
              <w:jc w:val="left"/>
            </w:pPr>
            <w:r>
              <w:rPr>
                <w:b/>
                <w:bCs/>
                <w:sz w:val="14"/>
              </w:rPr>
              <w:t xml:space="preserve">0.992 [0.972, 1.010]</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Self</w:t>
            </w:r>
          </w:p>
        </w:tc>
        <w:tc>
          <w:tcPr>
            <w:tcW w:type="dxa" w:w="4510"/>
          </w:tcPr>
          <w:p>
            <w:pPr>
              <w:pStyle w:val="Compact"/>
              <w:spacing w:before="0" w:after="0" w:line="240" w:lineRule="auto"/>
              <w:jc w:val="left"/>
            </w:pPr>
            <w:r>
              <w:rPr>
                <w:sz w:val="14"/>
              </w:rPr>
              <w:t xml:space="preserve">0.000 (reference)</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Matched Gaussian</w:t>
            </w:r>
          </w:p>
        </w:tc>
        <w:tc>
          <w:tcPr>
            <w:tcW w:type="dxa" w:w="4510"/>
          </w:tcPr>
          <w:p>
            <w:pPr>
              <w:pStyle w:val="Compact"/>
              <w:spacing w:before="0" w:after="0" w:line="240" w:lineRule="auto"/>
              <w:jc w:val="left"/>
            </w:pPr>
            <w:r>
              <w:rPr>
                <w:sz w:val="14"/>
              </w:rPr>
              <w:t xml:space="preserve">0.041 [0.003, 0.076]</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Natural control</w:t>
            </w:r>
          </w:p>
        </w:tc>
        <w:tc>
          <w:tcPr>
            <w:tcW w:type="dxa" w:w="4510"/>
          </w:tcPr>
          <w:p>
            <w:pPr>
              <w:pStyle w:val="Compact"/>
              <w:spacing w:before="0" w:after="0" w:line="240" w:lineRule="auto"/>
              <w:jc w:val="left"/>
            </w:pPr>
            <w:r>
              <w:rPr>
                <w:sz w:val="14"/>
              </w:rPr>
              <w:t xml:space="preserve">0.591 [0.491, 0.687]</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b/>
                <w:bCs/>
                <w:sz w:val="14"/>
              </w:rPr>
              <w:t xml:space="preserve">Paired donor</w:t>
            </w:r>
          </w:p>
        </w:tc>
        <w:tc>
          <w:tcPr>
            <w:tcW w:type="dxa" w:w="4510"/>
          </w:tcPr>
          <w:p>
            <w:pPr>
              <w:pStyle w:val="Compact"/>
              <w:spacing w:before="0" w:after="0" w:line="240" w:lineRule="auto"/>
              <w:jc w:val="left"/>
            </w:pPr>
            <w:r>
              <w:rPr>
                <w:b/>
                <w:bCs/>
                <w:sz w:val="14"/>
              </w:rPr>
              <w:t xml:space="preserve">0.983 [0.890, 1.064]</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Self</w:t>
            </w:r>
          </w:p>
        </w:tc>
        <w:tc>
          <w:tcPr>
            <w:tcW w:type="dxa" w:w="4510"/>
          </w:tcPr>
          <w:p>
            <w:pPr>
              <w:pStyle w:val="Compact"/>
              <w:spacing w:before="0" w:after="0" w:line="240" w:lineRule="auto"/>
              <w:jc w:val="left"/>
            </w:pPr>
            <w:r>
              <w:rPr>
                <w:sz w:val="14"/>
              </w:rPr>
              <w:t xml:space="preserve">0.000 (reference)</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Matched Gaussian</w:t>
            </w:r>
          </w:p>
        </w:tc>
        <w:tc>
          <w:tcPr>
            <w:tcW w:type="dxa" w:w="4510"/>
          </w:tcPr>
          <w:p>
            <w:pPr>
              <w:pStyle w:val="Compact"/>
              <w:spacing w:before="0" w:after="0" w:line="240" w:lineRule="auto"/>
              <w:jc w:val="left"/>
            </w:pPr>
            <w:r>
              <w:rPr>
                <w:sz w:val="14"/>
              </w:rPr>
              <w:t xml:space="preserve">−0.041 [−0.168, 0.054]</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Natural control</w:t>
            </w:r>
          </w:p>
        </w:tc>
        <w:tc>
          <w:tcPr>
            <w:tcW w:type="dxa" w:w="4510"/>
          </w:tcPr>
          <w:p>
            <w:pPr>
              <w:pStyle w:val="Compact"/>
              <w:spacing w:before="0" w:after="0" w:line="240" w:lineRule="auto"/>
              <w:jc w:val="left"/>
            </w:pPr>
            <w:r>
              <w:rPr>
                <w:sz w:val="14"/>
              </w:rPr>
              <w:t xml:space="preserve">0.514 [0.387, 0.642]</w:t>
            </w:r>
          </w:p>
        </w:tc>
      </w:tr>
      <w:tr>
        <w:trPr>
          <w:cantSplit/>
        </w:trPr>
        <w:tc>
          <w:tcPr>
            <w:tcW w:type="dxa" w:w="1350"/>
          </w:tcPr>
          <w:p>
            <w:pPr>
              <w:pStyle w:val="Compact"/>
              <w:spacing w:before="0" w:after="0" w:line="240" w:lineRule="auto"/>
              <w:jc w:val="left"/>
            </w:pPr>
            <w:r>
              <w:rPr>
                <w:sz w:val="14"/>
              </w:rPr>
              <w:t xml:space="preserve">Cosmos 3</w:t>
            </w:r>
          </w:p>
        </w:tc>
        <w:tc>
          <w:tcPr>
            <w:tcW w:type="dxa" w:w="950"/>
          </w:tcPr>
          <w:p>
            <w:pPr>
              <w:pStyle w:val="Compact"/>
              <w:spacing w:before="0" w:after="0" w:line="240" w:lineRule="auto"/>
              <w:jc w:val="left"/>
            </w:pPr>
            <w:r>
              <w:rPr>
                <w:sz w:val="14"/>
              </w:rPr>
              <w:t xml:space="preserve">Executed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b/>
                <w:bCs/>
                <w:sz w:val="14"/>
              </w:rPr>
              <w:t xml:space="preserve">Paired donor</w:t>
            </w:r>
          </w:p>
        </w:tc>
        <w:tc>
          <w:tcPr>
            <w:tcW w:type="dxa" w:w="4510"/>
          </w:tcPr>
          <w:p>
            <w:pPr>
              <w:pStyle w:val="Compact"/>
              <w:spacing w:before="0" w:after="0" w:line="240" w:lineRule="auto"/>
              <w:jc w:val="left"/>
            </w:pPr>
            <w:r>
              <w:rPr>
                <w:b/>
                <w:bCs/>
                <w:sz w:val="14"/>
              </w:rPr>
              <w:t xml:space="preserve">1.003 [0.950, 1.050]</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Self</w:t>
            </w:r>
          </w:p>
        </w:tc>
        <w:tc>
          <w:tcPr>
            <w:tcW w:type="dxa" w:w="4510"/>
          </w:tcPr>
          <w:p>
            <w:pPr>
              <w:pStyle w:val="Compact"/>
              <w:spacing w:before="0" w:after="0" w:line="240" w:lineRule="auto"/>
              <w:jc w:val="left"/>
            </w:pPr>
            <w:r>
              <w:rPr>
                <w:sz w:val="14"/>
              </w:rPr>
              <w:t xml:space="preserve">0.000 (reference)</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Matched Gaussian</w:t>
            </w:r>
          </w:p>
        </w:tc>
        <w:tc>
          <w:tcPr>
            <w:tcW w:type="dxa" w:w="4510"/>
          </w:tcPr>
          <w:p>
            <w:pPr>
              <w:pStyle w:val="Compact"/>
              <w:spacing w:before="0" w:after="0" w:line="240" w:lineRule="auto"/>
              <w:jc w:val="left"/>
            </w:pPr>
            <w:r>
              <w:rPr>
                <w:sz w:val="14"/>
              </w:rPr>
              <w:t xml:space="preserve">0.001 [−0.004, 0.006]</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Natural control</w:t>
            </w:r>
          </w:p>
        </w:tc>
        <w:tc>
          <w:tcPr>
            <w:tcW w:type="dxa" w:w="4510"/>
          </w:tcPr>
          <w:p>
            <w:pPr>
              <w:pStyle w:val="Compact"/>
              <w:spacing w:before="0" w:after="0" w:line="240" w:lineRule="auto"/>
              <w:jc w:val="left"/>
            </w:pPr>
            <w:r>
              <w:rPr>
                <w:sz w:val="14"/>
              </w:rPr>
              <w:t xml:space="preserve">0.395 [0.269, 0.553]</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sz w:val="14"/>
              </w:rPr>
              <w:t xml:space="preserve">Shuffled control</w:t>
            </w:r>
          </w:p>
        </w:tc>
        <w:tc>
          <w:tcPr>
            <w:tcW w:type="dxa" w:w="4510"/>
          </w:tcPr>
          <w:p>
            <w:pPr>
              <w:pStyle w:val="Compact"/>
              <w:spacing w:before="0" w:after="0" w:line="240" w:lineRule="auto"/>
              <w:jc w:val="left"/>
            </w:pPr>
            <w:r>
              <w:rPr>
                <w:sz w:val="14"/>
              </w:rPr>
              <w:t xml:space="preserve">0.244 [0.152, 0.347]</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Action</w:t>
            </w:r>
          </w:p>
        </w:tc>
        <w:tc>
          <w:tcPr>
            <w:tcW w:type="dxa" w:w="1700"/>
          </w:tcPr>
          <w:p>
            <w:pPr>
              <w:pStyle w:val="Compact"/>
              <w:spacing w:before="0" w:after="0" w:line="240" w:lineRule="auto"/>
              <w:jc w:val="left"/>
            </w:pPr>
            <w:r>
              <w:rPr>
                <w:b/>
                <w:bCs/>
                <w:sz w:val="14"/>
              </w:rPr>
              <w:t xml:space="preserve">Paired donor</w:t>
            </w:r>
          </w:p>
        </w:tc>
        <w:tc>
          <w:tcPr>
            <w:tcW w:type="dxa" w:w="4510"/>
          </w:tcPr>
          <w:p>
            <w:pPr>
              <w:pStyle w:val="Compact"/>
              <w:spacing w:before="0" w:after="0" w:line="240" w:lineRule="auto"/>
              <w:jc w:val="left"/>
            </w:pPr>
            <w:r>
              <w:rPr>
                <w:b/>
                <w:bCs/>
                <w:sz w:val="14"/>
              </w:rPr>
              <w:t xml:space="preserve">0.499 [0.336, 0.679]</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Self</w:t>
            </w:r>
          </w:p>
        </w:tc>
        <w:tc>
          <w:tcPr>
            <w:tcW w:type="dxa" w:w="4510"/>
          </w:tcPr>
          <w:p>
            <w:pPr>
              <w:pStyle w:val="Compact"/>
              <w:spacing w:before="0" w:after="0" w:line="240" w:lineRule="auto"/>
              <w:jc w:val="left"/>
            </w:pPr>
            <w:r>
              <w:rPr>
                <w:sz w:val="14"/>
              </w:rPr>
              <w:t xml:space="preserve">0.000 (reference)</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Matched Gaussian</w:t>
            </w:r>
          </w:p>
        </w:tc>
        <w:tc>
          <w:tcPr>
            <w:tcW w:type="dxa" w:w="4510"/>
          </w:tcPr>
          <w:p>
            <w:pPr>
              <w:pStyle w:val="Compact"/>
              <w:spacing w:before="0" w:after="0" w:line="240" w:lineRule="auto"/>
              <w:jc w:val="left"/>
            </w:pPr>
            <w:r>
              <w:rPr>
                <w:sz w:val="14"/>
              </w:rPr>
              <w:t xml:space="preserve">0.003 [−0.003, 0.008]</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Natural control</w:t>
            </w:r>
          </w:p>
        </w:tc>
        <w:tc>
          <w:tcPr>
            <w:tcW w:type="dxa" w:w="4510"/>
          </w:tcPr>
          <w:p>
            <w:pPr>
              <w:pStyle w:val="Compact"/>
              <w:spacing w:before="0" w:after="0" w:line="240" w:lineRule="auto"/>
              <w:jc w:val="left"/>
            </w:pPr>
            <w:r>
              <w:rPr>
                <w:sz w:val="14"/>
              </w:rPr>
              <w:t xml:space="preserve">0.442 [0.311, 0.598]</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sz w:val="14"/>
              </w:rPr>
              <w:t xml:space="preserve">Shuffled control</w:t>
            </w:r>
          </w:p>
        </w:tc>
        <w:tc>
          <w:tcPr>
            <w:tcW w:type="dxa" w:w="4510"/>
          </w:tcPr>
          <w:p>
            <w:pPr>
              <w:pStyle w:val="Compact"/>
              <w:spacing w:before="0" w:after="0" w:line="240" w:lineRule="auto"/>
              <w:jc w:val="left"/>
            </w:pPr>
            <w:r>
              <w:rPr>
                <w:sz w:val="14"/>
              </w:rPr>
              <w:t xml:space="preserve">0.275 [0.185, 0.375]</w:t>
            </w:r>
          </w:p>
        </w:tc>
      </w:tr>
      <w:tr>
        <w:trPr>
          <w:cantSplit/>
        </w:trPr>
        <w:tc>
          <w:tcPr>
            <w:tcW w:type="dxa" w:w="1350"/>
          </w:tcPr>
          <w:p>
            <w:pPr>
              <w:pStyle w:val="Compact"/>
              <w:spacing w:before="0" w:after="0" w:line="240" w:lineRule="auto"/>
              <w:jc w:val="left"/>
            </w:pPr>
            <w:r>
              <w:rPr>
                <w:sz w:val="14"/>
              </w:rPr>
              <w:t xml:space="preserve">Cosmos Policy</w:t>
            </w:r>
          </w:p>
        </w:tc>
        <w:tc>
          <w:tcPr>
            <w:tcW w:type="dxa" w:w="950"/>
          </w:tcPr>
          <w:p>
            <w:pPr>
              <w:pStyle w:val="Compact"/>
              <w:spacing w:before="0" w:after="0" w:line="240" w:lineRule="auto"/>
              <w:jc w:val="left"/>
            </w:pPr>
            <w:r>
              <w:rPr>
                <w:sz w:val="14"/>
              </w:rPr>
              <w:t xml:space="preserve">Predicted</w:t>
            </w:r>
          </w:p>
        </w:tc>
        <w:tc>
          <w:tcPr>
            <w:tcW w:type="dxa" w:w="850"/>
          </w:tcPr>
          <w:p>
            <w:pPr>
              <w:pStyle w:val="Compact"/>
              <w:spacing w:before="0" w:after="0" w:line="240" w:lineRule="auto"/>
              <w:jc w:val="left"/>
            </w:pPr>
            <w:r>
              <w:rPr>
                <w:sz w:val="14"/>
              </w:rPr>
              <w:t xml:space="preserve">Endpoint</w:t>
            </w:r>
          </w:p>
        </w:tc>
        <w:tc>
          <w:tcPr>
            <w:tcW w:type="dxa" w:w="1700"/>
          </w:tcPr>
          <w:p>
            <w:pPr>
              <w:pStyle w:val="Compact"/>
              <w:spacing w:before="0" w:after="0" w:line="240" w:lineRule="auto"/>
              <w:jc w:val="left"/>
            </w:pPr>
            <w:r>
              <w:rPr>
                <w:b/>
                <w:bCs/>
                <w:sz w:val="14"/>
              </w:rPr>
              <w:t xml:space="preserve">Paired donor</w:t>
            </w:r>
          </w:p>
        </w:tc>
        <w:tc>
          <w:tcPr>
            <w:tcW w:type="dxa" w:w="4510"/>
          </w:tcPr>
          <w:p>
            <w:pPr>
              <w:pStyle w:val="Compact"/>
              <w:spacing w:before="0" w:after="0" w:line="240" w:lineRule="auto"/>
              <w:jc w:val="left"/>
            </w:pPr>
            <w:r>
              <w:rPr>
                <w:b/>
                <w:bCs/>
                <w:sz w:val="14"/>
              </w:rPr>
              <w:t xml:space="preserve">0.552 [0.387, 0.728]</w:t>
            </w:r>
          </w:p>
        </w:tc>
      </w:tr>
    </w:tbl>
    <w:bookmarkEnd w:id="25"/>
    <w:bookmarkEnd w:id="26"/>
    <w:bookmarkStart w:id="31" w:name="cosmos-policy.-1"/>
    <w:p>
      <w:pPr>
        <w:keepNext/>
        <w:spacing w:before="160" w:after="40"/>
      </w:pPr>
      <w:r>
        <w:rPr>
          <w:b/>
          <w:i w:val="0"/>
          <w:color w:val="1F637D"/>
        </w:rPr>
        <w:t>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Figure </w:t>
      </w:r>
      <w:hyperlink w:anchor="fig:policy_scope">
        <w:r>
          <w:rPr>
            <w:rStyle w:val="Hyperlink"/>
          </w:rPr>
          <w:t xml:space="preserve">5</w:t>
        </w:r>
      </w:hyperlink>
      <w:r>
        <w:t xml:space="preserve"> </w:t>
      </w:r>
      <w:r>
        <w:t xml:space="preserve">examines how this effect varies across state cohorts and future components.</w:t>
      </w:r>
    </w:p>
    <w:bookmarkStart w:id="30" w:name="fig:directionality"/>
    <w:p>
      <w:pPr>
        <w:pStyle w:val="CaptionedFigure"/>
      </w:pPr>
      <w:r>
        <w:drawing>
          <wp:inline>
            <wp:extent cx="4480560" cy="2993315"/>
            <wp:effectExtent b="0" l="0" r="0" t="0"/>
            <wp:docPr descr="" title="" id="28" name="Picture"/>
            <a:graphic>
              <a:graphicData uri="http://schemas.openxmlformats.org/drawingml/2006/picture">
                <pic:pic>
                  <pic:nvPicPr>
                    <pic:cNvPr descr="figures/figure2_directional_tests.png" id="29" name="Picture"/>
                    <pic:cNvPicPr>
                      <a:picLocks noChangeArrowheads="1" noChangeAspect="1"/>
                    </pic:cNvPicPr>
                  </pic:nvPicPr>
                  <pic:blipFill>
                    <a:blip r:embed="rId27"/>
                    <a:stretch>
                      <a:fillRect/>
                    </a:stretch>
                  </pic:blipFill>
                  <pic:spPr bwMode="auto">
                    <a:xfrm>
                      <a:off x="0" y="0"/>
                      <a:ext cx="4480560" cy="2993315"/>
                    </a:xfrm>
                    <a:prstGeom prst="rect">
                      <a:avLst/>
                    </a:prstGeom>
                    <a:noFill/>
                    <a:ln w="9525">
                      <a:noFill/>
                      <a:headEnd/>
                      <a:tailEnd/>
                    </a:ln>
                  </pic:spPr>
                </pic:pic>
              </a:graphicData>
            </a:graphic>
          </wp:inline>
        </w:drawing>
      </w:r>
    </w:p>
    <w:p>
      <w:pPr>
        <w:pStyle w:val="ImageCaption"/>
      </w:pPr>
      <w:r>
        <w:t xml:space="preserve">Directional steering and specificity controls. (a) Donor-minus-self steering. Values near 1 mean that the intervention reproduces the donor-directed component of the native action or endpoint displacement; the dashed line marks the prespecified</w:t>
      </w:r>
      <w:r>
        <w:t xml:space="preserve"> </w:t>
      </w:r>
      <m:oMath>
        <m:r>
          <m:t>0.10</m:t>
        </m:r>
      </m:oMath>
      <w:r>
        <w:t xml:space="preserve"> </w:t>
      </w:r>
      <w:r>
        <w:t xml:space="preserve">smallest effect of interest. (b) Paired donor minus the stated control. Positive values mean that the paired donor has greater directional influence than an unstructured, natural, or shuffled alternative. Small symbols are independent states for Cosmos 3 and tasks for Cosmos Policy; large symbols and whiskers are means and 95% independent-unit bootstrap intervals. Blue circles denote actions and open orange squares denote executed endpoints.</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40" w:name="sec:content"/>
    <w:p>
      <w:pPr>
        <w:pStyle w:val="Heading2"/>
      </w:pPr>
      <w:r>
        <w:rPr>
          <w:rStyle w:val="SectionNumber"/>
        </w:rPr>
        <w:t xml:space="preserve">4.2</w:t>
      </w:r>
      <w:r>
        <w:tab/>
      </w: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6" w:name="fig:cosmos3_factorization"/>
    <w:p>
      <w:pPr>
        <w:pStyle w:val="CaptionedFigure"/>
      </w:pPr>
      <w:r>
        <w:drawing>
          <wp:inline>
            <wp:extent cx="4693920" cy="2008602"/>
            <wp:effectExtent b="0" l="0" r="0" t="0"/>
            <wp:docPr descr="" title="" id="34" name="Picture"/>
            <a:graphic>
              <a:graphicData uri="http://schemas.openxmlformats.org/drawingml/2006/picture">
                <pic:pic>
                  <pic:nvPicPr>
                    <pic:cNvPr descr="figures/figure3_cosmos3_factorization.png" id="35" name="Picture"/>
                    <pic:cNvPicPr>
                      <a:picLocks noChangeArrowheads="1" noChangeAspect="1"/>
                    </pic:cNvPicPr>
                  </pic:nvPicPr>
                  <pic:blipFill>
                    <a:blip r:embed="rId33"/>
                    <a:stretch>
                      <a:fillRect/>
                    </a:stretch>
                  </pic:blipFill>
                  <pic:spPr bwMode="auto">
                    <a:xfrm>
                      <a:off x="0" y="0"/>
                      <a:ext cx="4693920" cy="2008602"/>
                    </a:xfrm>
                    <a:prstGeom prst="rect">
                      <a:avLst/>
                    </a:prstGeom>
                    <a:noFill/>
                    <a:ln w="9525">
                      <a:noFill/>
                      <a:headEnd/>
                      <a:tailEnd/>
                    </a:ln>
                  </pic:spPr>
                </pic:pic>
              </a:graphicData>
            </a:graphic>
          </wp:inline>
        </w:drawing>
      </w:r>
    </w:p>
    <w:p>
      <w:pPr>
        <w:pStyle w:val="ImageCaption"/>
      </w:pPr>
      <w:r>
        <w:t xml:space="preserve">Cosmos 3 robot/object pixel factorization. Panels (a) and (b) show the four hybrid-video cells for action and executed endpoint projection. The horizontal axis indicates whether robot pixels come from the recipient or donor; gray and green traces indicate recipient and donor object pixels. Panel (c) compares the resulting robot- and object-pixel main effects with transplantation of the complete donor future. Blue circles denote actions and open orange squares denote executed endpoints; small symbols are states and large symbols with whiskers are means and 95% state-bootstrap intervals. The gray band is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Isolated robot or object pixels have near-zero effects even though the complete future strongly steers both outcomes.</w:t>
      </w:r>
    </w:p>
    <w:bookmarkEnd w:id="36"/>
    <w:bookmarkStart w:id="37" w:name="cosmos-policy.-2"/>
    <w:p>
      <w:pPr>
        <w:keepNext/>
        <w:spacing w:before="160" w:after="40"/>
      </w:pPr>
      <w:r>
        <w:rPr>
          <w:b/>
          <w:i w:val="0"/>
          <w:color w:val="1F637D"/>
        </w:rPr>
        <w:t>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policy_scope">
        <w:r>
          <w:rPr>
            <w:rStyle w:val="Hyperlink"/>
          </w:rPr>
          <w:t xml:space="preserve">5</w:t>
        </w:r>
      </w:hyperlink>
      <w:r>
        <w:t xml:space="preserve">b).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7"/>
    <w:bookmarkStart w:id="39" w:name="cosmos-3.-2"/>
    <w:p>
      <w:pPr>
        <w:keepNext/>
        <w:spacing w:before="160" w:after="40"/>
      </w:pPr>
      <w:r>
        <w:rPr>
          <w:b/>
          <w:i w:val="0"/>
          <w:color w:val="1F637D"/>
        </w:rPr>
        <w:t>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_factors">
        <w:r>
          <w:rPr>
            <w:rStyle w:val="Hyperlink"/>
          </w:rPr>
          <w:t xml:space="preserve">2</w:t>
        </w:r>
      </w:hyperlink>
      <w:r>
        <w:t xml:space="preserve">; Figure </w:t>
      </w:r>
      <w:hyperlink w:anchor="fig:cosmos3_factorization">
        <w:r>
          <w:rPr>
            <w:rStyle w:val="Hyperlink"/>
          </w:rPr>
          <w:t xml:space="preserve">3</w:t>
        </w:r>
      </w:hyperlink>
      <w:r>
        <w:t xml:space="preserve">). Panels a and b show all four cells of the</w:t>
      </w:r>
      <w:r>
        <w:t xml:space="preserve"> </w:t>
      </w:r>
      <m:oMath>
        <m:r>
          <m:t>2</m:t>
        </m:r>
        <m:r>
          <m:rPr>
            <m:sty m:val="p"/>
          </m:rPr>
          <m:t>×</m:t>
        </m:r>
        <m:r>
          <m:t>2</m:t>
        </m:r>
      </m:oMath>
      <w:r>
        <w:t xml:space="preserve"> </w:t>
      </w:r>
      <w:r>
        <w:t xml:space="preserve">hybrid intervention: swapping robot pixels, object pixels, or both changes neither the action nor the executed endpoint appreciably. Panel c places the factor effects beside the whole-future intervention on the same axis. Whole-future steering is approximately one unit, whereas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and object-pixel effects are</w:t>
      </w:r>
      <w:r>
        <w:t xml:space="preserve"> </w:t>
      </w:r>
      <m:oMath>
        <m:r>
          <m:t>0.0061</m:t>
        </m:r>
      </m:oMath>
      <w:r>
        <w:t xml:space="preserve"> </w:t>
      </w:r>
      <w:r>
        <w:t xml:space="preserve">and −0.0001. Neither isolated factor therefore recreates a meaningful fraction of the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8" w:name="tab:content_factors"/>
    <w:p>
      <w:pPr>
        <w:pStyle w:val="TableCaption"/>
        <w:keepNext/>
        <w:pageBreakBefore/>
      </w:pPr>
      <w:r>
        <w:t xml:space="preserve">Cosmos 3 isolated-content interventions across 10 states from six tasks. Entries are mean donor-directed projections with 95% state-bootstrap intervals; 0 denotes the recipient and 1 the paired donor. Robot and object masks are disjoint. The prespecified practical-equivalence region is</w:t>
      </w:r>
      <w:r>
        <w:t xml:space="preserve"> </w:t>
      </w:r>
      <m:oMath>
        <m:r>
          <m:rPr>
            <m:sty m:val="p"/>
          </m:rPr>
          <m:t>[</m:t>
        </m:r>
        <m:r>
          <m:rPr>
            <m:sty m:val="p"/>
          </m:rPr>
          <m:t>−</m:t>
        </m:r>
        <m:r>
          <m:t>0.10</m:t>
        </m:r>
        <m:r>
          <m:rPr>
            <m:sty m:val="p"/>
          </m:rPr>
          <m:t>,</m:t>
        </m:r>
        <m:r>
          <m:t>0.10</m:t>
        </m:r>
        <m:r>
          <m:rPr>
            <m:sty m:val="p"/>
          </m:rPr>
          <m:t>]</m:t>
        </m:r>
      </m:oMath>
      <w:r>
        <w:t xml:space="preserve">.</w:t>
      </w:r>
    </w:p>
    <w:tbl>
      <w:tblPr>
        <w:tblStyle w:val="Table"/>
        <w:tblW w:type="dxa" w:w="9360"/>
        <w:jc w:val="left"/>
        <w:tblLayout w:type="fixed"/>
        <w:tblLook w:firstRow="1" w:lastRow="0" w:firstColumn="0" w:lastColumn="0" w:noHBand="0" w:noVBand="0" w:val="0020"/>
        <w:tblCaption w:val="Cosmos 3 isolated-content interventions across 10 states from six tasks. Entries are mean donor-directed projections with 95% state-bootstrap intervals; 0 denotes the recipient and 1 the paired donor. Robot and object masks are disjoint. The prespecified practical-equivalence region is [-0.10,0.10]."/>
        <w:tblInd w:type="dxa" w:w="120"/>
      </w:tblPr>
      <w:tblGrid>
        <w:gridCol w:w="2160"/>
        <w:gridCol w:w="3600"/>
        <w:gridCol w:w="3600"/>
      </w:tblGrid>
      <w:tr>
        <w:trPr>
          <w:tblHeader w:val="on"/>
          <w:cantSplit/>
        </w:trPr>
        <w:tc>
          <w:tcPr>
            <w:tcW w:type="dxa" w:w="2160"/>
          </w:tcPr>
          <w:p>
            <w:pPr>
              <w:pStyle w:val="Compact"/>
              <w:spacing w:before="0" w:after="0" w:line="240" w:lineRule="auto"/>
              <w:jc w:val="left"/>
            </w:pPr>
            <w:r>
              <w:rPr>
                <w:sz w:val="16"/>
              </w:rPr>
              <w:t xml:space="preserve">Donor pixels inserted</w:t>
            </w:r>
          </w:p>
        </w:tc>
        <w:tc>
          <w:tcPr>
            <w:tcW w:type="dxa" w:w="3600"/>
          </w:tcPr>
          <w:p>
            <w:pPr>
              <w:pStyle w:val="Compact"/>
              <w:spacing w:before="0" w:after="0" w:line="240" w:lineRule="auto"/>
              <w:jc w:val="center"/>
            </w:pPr>
            <w:r>
              <w:rPr>
                <w:sz w:val="16"/>
              </w:rPr>
              <w:t xml:space="preserve">Action projection [95% CI]</w:t>
            </w:r>
          </w:p>
        </w:tc>
        <w:tc>
          <w:tcPr>
            <w:tcW w:type="dxa" w:w="3600"/>
          </w:tcPr>
          <w:p>
            <w:pPr>
              <w:pStyle w:val="Compact"/>
              <w:spacing w:before="0" w:after="0" w:line="240" w:lineRule="auto"/>
              <w:jc w:val="center"/>
            </w:pPr>
            <w:r>
              <w:rPr>
                <w:sz w:val="16"/>
              </w:rPr>
              <w:t xml:space="preserve">Endpoint projection [95% CI]</w:t>
            </w:r>
          </w:p>
        </w:tc>
      </w:tr>
      <w:tr>
        <w:trPr>
          <w:cantSplit/>
        </w:trPr>
        <w:tc>
          <w:tcPr>
            <w:tcW w:type="dxa" w:w="2160"/>
          </w:tcPr>
          <w:p>
            <w:pPr>
              <w:pStyle w:val="Compact"/>
              <w:spacing w:before="0" w:after="0" w:line="240" w:lineRule="auto"/>
              <w:jc w:val="left"/>
            </w:pPr>
            <w:r>
              <w:rPr>
                <w:sz w:val="16"/>
              </w:rPr>
              <w:t xml:space="preserve">Robot only</w:t>
            </w:r>
          </w:p>
        </w:tc>
        <w:tc>
          <w:tcPr>
            <w:tcW w:type="dxa" w:w="3600"/>
          </w:tcPr>
          <w:p>
            <w:pPr>
              <w:pStyle w:val="Compact"/>
              <w:spacing w:before="0" w:after="0" w:line="240" w:lineRule="auto"/>
              <w:jc w:val="center"/>
            </w:pPr>
            <w:r>
              <w:rPr>
                <w:sz w:val="16"/>
              </w:rPr>
              <w:t xml:space="preserve">0.0022 [−0.0016, 0.0060]</w:t>
            </w:r>
          </w:p>
        </w:tc>
        <w:tc>
          <w:tcPr>
            <w:tcW w:type="dxa" w:w="3600"/>
          </w:tcPr>
          <w:p>
            <w:pPr>
              <w:pStyle w:val="Compact"/>
              <w:spacing w:before="0" w:after="0" w:line="240" w:lineRule="auto"/>
              <w:jc w:val="center"/>
            </w:pPr>
            <w:r>
              <w:rPr>
                <w:sz w:val="16"/>
              </w:rPr>
              <w:t xml:space="preserve">0.0102 [−0.0067, 0.0275]</w:t>
            </w:r>
          </w:p>
        </w:tc>
      </w:tr>
      <w:tr>
        <w:trPr>
          <w:cantSplit/>
        </w:trPr>
        <w:tc>
          <w:tcPr>
            <w:tcW w:type="dxa" w:w="2160"/>
          </w:tcPr>
          <w:p>
            <w:pPr>
              <w:pStyle w:val="Compact"/>
              <w:spacing w:before="0" w:after="0" w:line="240" w:lineRule="auto"/>
              <w:jc w:val="left"/>
            </w:pPr>
            <w:r>
              <w:rPr>
                <w:sz w:val="16"/>
              </w:rPr>
              <w:t xml:space="preserve">Object only</w:t>
            </w:r>
          </w:p>
        </w:tc>
        <w:tc>
          <w:tcPr>
            <w:tcW w:type="dxa" w:w="3600"/>
          </w:tcPr>
          <w:p>
            <w:pPr>
              <w:pStyle w:val="Compact"/>
              <w:spacing w:before="0" w:after="0" w:line="240" w:lineRule="auto"/>
              <w:jc w:val="center"/>
            </w:pPr>
            <w:r>
              <w:rPr>
                <w:sz w:val="16"/>
              </w:rPr>
              <w:t xml:space="preserve">0.0061 [0.0009, 0.0119]</w:t>
            </w:r>
          </w:p>
        </w:tc>
        <w:tc>
          <w:tcPr>
            <w:tcW w:type="dxa" w:w="3600"/>
          </w:tcPr>
          <w:p>
            <w:pPr>
              <w:pStyle w:val="Compact"/>
              <w:spacing w:before="0" w:after="0" w:line="240" w:lineRule="auto"/>
              <w:jc w:val="center"/>
            </w:pPr>
            <w:r>
              <w:rPr>
                <w:sz w:val="16"/>
              </w:rPr>
              <w:t xml:space="preserve">−0.0001 [−0.0254, 0.0239]</w:t>
            </w:r>
          </w:p>
        </w:tc>
      </w:tr>
    </w:tbl>
    <w:bookmarkEnd w:id="38"/>
    <w:bookmarkEnd w:id="39"/>
    <w:bookmarkEnd w:id="40"/>
    <w:bookmarkStart w:id="48" w:name="sec:pathway"/>
    <w:p>
      <w:pPr>
        <w:pStyle w:val="Heading2"/>
      </w:pPr>
      <w:r>
        <w:rPr>
          <w:rStyle w:val="SectionNumber"/>
        </w:rPr>
        <w:t xml:space="preserve">4.3</w:t>
      </w:r>
      <w:r>
        <w:tab/>
      </w: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41" w:name="cosmos-policy.-3"/>
    <w:p>
      <w:pPr>
        <w:keepNext/>
        <w:spacing w:before="160" w:after="40"/>
      </w:pPr>
      <w:r>
        <w:rPr>
          <w:b/>
          <w:i w:val="0"/>
          <w:color w:val="1F637D"/>
        </w:rPr>
        <w:t>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41"/>
    <w:bookmarkStart w:id="47" w:name="cosmos-3.-3"/>
    <w:p>
      <w:pPr>
        <w:keepNext/>
        <w:spacing w:before="160" w:after="40"/>
      </w:pPr>
      <w:r>
        <w:rPr>
          <w:b/>
          <w:i w:val="0"/>
          <w:color w:val="1F637D"/>
        </w:rPr>
        <w:t>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kv_pathway">
        <w:r>
          <w:rPr>
            <w:rStyle w:val="Hyperlink"/>
          </w:rPr>
          <w:t xml:space="preserve">3</w:t>
        </w:r>
      </w:hyperlink>
      <w:r>
        <w:t xml:space="preserve">; Figure </w:t>
      </w:r>
      <w:hyperlink w:anchor="fig:cosmos3_kv">
        <w:r>
          <w:rPr>
            <w:rStyle w:val="Hyperlink"/>
          </w:rPr>
          <w:t xml:space="preserve">4</w:t>
        </w:r>
      </w:hyperlink>
      <w:r>
        <w:t xml:space="preserve">). These losses correspond to 88%, 83%, and 85% of the respective unpatched point estimates and are positive in 22/22 states. The remaining mean steering after replacement is</w:t>
      </w:r>
      <w:r>
        <w:t xml:space="preserve"> </w:t>
      </w:r>
      <m:oMath>
        <m:r>
          <m:t>0.115</m:t>
        </m:r>
      </m:oMath>
      <w:r>
        <w:t xml:space="preserve">,</w:t>
      </w:r>
      <w:r>
        <w:t xml:space="preserve"> </w:t>
      </w:r>
      <m:oMath>
        <m:r>
          <m:t>0.169</m:t>
        </m:r>
      </m:oMath>
      <w:r>
        <w:t xml:space="preserve">, and</w:t>
      </w:r>
      <w:r>
        <w:t xml:space="preserve"> </w:t>
      </w:r>
      <m:oMath>
        <m:r>
          <m:t>0.152</m:t>
        </m:r>
      </m:oMath>
      <w:r>
        <w:t xml:space="preserve">, respectively (Figure </w:t>
      </w:r>
      <w:hyperlink w:anchor="fig:cosmos3_kv">
        <w:r>
          <w:rPr>
            <w:rStyle w:val="Hyperlink"/>
          </w:rPr>
          <w:t xml:space="preserve">4</w:t>
        </w:r>
      </w:hyperlink>
      <w:r>
        <w:t xml:space="preserve">a–c). Thus, this interface carries most, but not all, of the donor-directed effect. Task-balanced loss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42" w:name="tab:kv_pathway"/>
    <w:p>
      <w:pPr>
        <w:pStyle w:val="TableCaption"/>
        <w:keepNext/>
      </w:pPr>
      <w:r>
        <w:t xml:space="preserve">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w:t>
      </w:r>
    </w:p>
    <w:tbl>
      <w:tblPr>
        <w:tblStyle w:val="Table"/>
        <w:tblW w:type="dxa" w:w="9360"/>
        <w:jc w:val="left"/>
        <w:tblLayout w:type="fixed"/>
        <w:tblLook w:firstRow="1" w:lastRow="0" w:firstColumn="0" w:lastColumn="0" w:noHBand="0" w:noVBand="0" w:val="0020"/>
        <w:tblCaption w:val="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
        <w:tblInd w:type="dxa" w:w="120"/>
      </w:tblPr>
      <w:tblGrid>
        <w:gridCol w:w="1944"/>
        <w:gridCol w:w="1728"/>
        <w:gridCol w:w="3816"/>
        <w:gridCol w:w="1872"/>
      </w:tblGrid>
      <w:tr>
        <w:trPr>
          <w:tblHeader w:val="on"/>
          <w:cantSplit/>
        </w:trPr>
        <w:tc>
          <w:tcPr>
            <w:tcW w:type="dxa" w:w="1944"/>
          </w:tcPr>
          <w:p>
            <w:pPr>
              <w:pStyle w:val="Compact"/>
              <w:spacing w:before="0" w:after="0" w:line="240" w:lineRule="auto"/>
              <w:jc w:val="left"/>
            </w:pPr>
            <w:r>
              <w:rPr>
                <w:sz w:val="16"/>
              </w:rPr>
              <w:t xml:space="preserve">Outcome</w:t>
            </w:r>
          </w:p>
        </w:tc>
        <w:tc>
          <w:tcPr>
            <w:tcW w:type="dxa" w:w="1728"/>
          </w:tcPr>
          <w:p>
            <w:pPr>
              <w:pStyle w:val="Compact"/>
              <w:spacing w:before="0" w:after="0" w:line="240" w:lineRule="auto"/>
              <w:jc w:val="center"/>
            </w:pPr>
            <w:r>
              <w:rPr>
                <w:sz w:val="16"/>
              </w:rPr>
              <w:t xml:space="preserve">Donor steering</w:t>
            </w:r>
          </w:p>
        </w:tc>
        <w:tc>
          <w:tcPr>
            <w:tcW w:type="dxa" w:w="3816"/>
          </w:tcPr>
          <w:p>
            <w:pPr>
              <w:pStyle w:val="Compact"/>
              <w:spacing w:before="0" w:after="0" w:line="240" w:lineRule="auto"/>
              <w:jc w:val="center"/>
            </w:pPr>
            <w:r>
              <w:rPr>
                <w:sz w:val="16"/>
              </w:rPr>
              <w:t xml:space="preserve">Replacement loss [95% CI]</w:t>
            </w:r>
          </w:p>
        </w:tc>
        <w:tc>
          <w:tcPr>
            <w:tcW w:type="dxa" w:w="1872"/>
          </w:tcPr>
          <w:p>
            <w:pPr>
              <w:pStyle w:val="Compact"/>
              <w:spacing w:before="0" w:after="0" w:line="240" w:lineRule="auto"/>
              <w:jc w:val="center"/>
            </w:pPr>
            <w:r>
              <w:rPr>
                <w:sz w:val="16"/>
              </w:rPr>
              <w:t xml:space="preserve">Relative reduction</w:t>
            </w:r>
          </w:p>
        </w:tc>
      </w:tr>
      <w:tr>
        <w:trPr>
          <w:cantSplit/>
        </w:trPr>
        <w:tc>
          <w:tcPr>
            <w:tcW w:type="dxa" w:w="1944"/>
          </w:tcPr>
          <w:p>
            <w:pPr>
              <w:pStyle w:val="Compact"/>
              <w:spacing w:before="0" w:after="0" w:line="240" w:lineRule="auto"/>
              <w:jc w:val="left"/>
            </w:pPr>
            <w:r>
              <w:rPr>
                <w:sz w:val="16"/>
              </w:rPr>
              <w:t xml:space="preserve">Predicted action</w:t>
            </w:r>
          </w:p>
        </w:tc>
        <w:tc>
          <w:tcPr>
            <w:tcW w:type="dxa" w:w="1728"/>
          </w:tcPr>
          <w:p>
            <w:pPr>
              <w:pStyle w:val="Compact"/>
              <w:spacing w:before="0" w:after="0" w:line="240" w:lineRule="auto"/>
              <w:jc w:val="center"/>
            </w:pPr>
            <w:r>
              <w:rPr>
                <w:sz w:val="16"/>
              </w:rPr>
              <w:t xml:space="preserve">0.992</w:t>
            </w:r>
          </w:p>
        </w:tc>
        <w:tc>
          <w:tcPr>
            <w:tcW w:type="dxa" w:w="3816"/>
          </w:tcPr>
          <w:p>
            <w:pPr>
              <w:pStyle w:val="Compact"/>
              <w:spacing w:before="0" w:after="0" w:line="240" w:lineRule="auto"/>
              <w:jc w:val="center"/>
            </w:pPr>
            <w:r>
              <w:rPr>
                <w:sz w:val="16"/>
              </w:rPr>
              <w:t xml:space="preserve">0.877 [0.842, 0.910]</w:t>
            </w:r>
          </w:p>
        </w:tc>
        <w:tc>
          <w:tcPr>
            <w:tcW w:type="dxa" w:w="1872"/>
          </w:tcPr>
          <w:p>
            <w:pPr>
              <w:pStyle w:val="Compact"/>
              <w:spacing w:before="0" w:after="0" w:line="240" w:lineRule="auto"/>
              <w:jc w:val="center"/>
            </w:pPr>
            <w:r>
              <w:rPr>
                <w:sz w:val="16"/>
              </w:rPr>
              <w:t xml:space="preserve">88%</w:t>
            </w:r>
          </w:p>
        </w:tc>
      </w:tr>
      <w:tr>
        <w:trPr>
          <w:cantSplit/>
        </w:trPr>
        <w:tc>
          <w:tcPr>
            <w:tcW w:type="dxa" w:w="1944"/>
          </w:tcPr>
          <w:p>
            <w:pPr>
              <w:pStyle w:val="Compact"/>
              <w:spacing w:before="0" w:after="0" w:line="240" w:lineRule="auto"/>
              <w:jc w:val="left"/>
            </w:pPr>
            <w:r>
              <w:rPr>
                <w:sz w:val="16"/>
              </w:rPr>
              <w:t xml:space="preserve">Executed action</w:t>
            </w:r>
          </w:p>
        </w:tc>
        <w:tc>
          <w:tcPr>
            <w:tcW w:type="dxa" w:w="1728"/>
          </w:tcPr>
          <w:p>
            <w:pPr>
              <w:pStyle w:val="Compact"/>
              <w:spacing w:before="0" w:after="0" w:line="240" w:lineRule="auto"/>
              <w:jc w:val="center"/>
            </w:pPr>
            <w:r>
              <w:rPr>
                <w:sz w:val="16"/>
              </w:rPr>
              <w:t xml:space="preserve">0.983</w:t>
            </w:r>
          </w:p>
        </w:tc>
        <w:tc>
          <w:tcPr>
            <w:tcW w:type="dxa" w:w="3816"/>
          </w:tcPr>
          <w:p>
            <w:pPr>
              <w:pStyle w:val="Compact"/>
              <w:spacing w:before="0" w:after="0" w:line="240" w:lineRule="auto"/>
              <w:jc w:val="center"/>
            </w:pPr>
            <w:r>
              <w:rPr>
                <w:sz w:val="16"/>
              </w:rPr>
              <w:t xml:space="preserve">0.814 [0.723, 0.900]</w:t>
            </w:r>
          </w:p>
        </w:tc>
        <w:tc>
          <w:tcPr>
            <w:tcW w:type="dxa" w:w="1872"/>
          </w:tcPr>
          <w:p>
            <w:pPr>
              <w:pStyle w:val="Compact"/>
              <w:spacing w:before="0" w:after="0" w:line="240" w:lineRule="auto"/>
              <w:jc w:val="center"/>
            </w:pPr>
            <w:r>
              <w:rPr>
                <w:sz w:val="16"/>
              </w:rPr>
              <w:t xml:space="preserve">83%</w:t>
            </w:r>
          </w:p>
        </w:tc>
      </w:tr>
      <w:tr>
        <w:trPr>
          <w:cantSplit/>
        </w:trPr>
        <w:tc>
          <w:tcPr>
            <w:tcW w:type="dxa" w:w="1944"/>
          </w:tcPr>
          <w:p>
            <w:pPr>
              <w:pStyle w:val="Compact"/>
              <w:spacing w:before="0" w:after="0" w:line="240" w:lineRule="auto"/>
              <w:jc w:val="left"/>
            </w:pPr>
            <w:r>
              <w:rPr>
                <w:sz w:val="16"/>
              </w:rPr>
              <w:t xml:space="preserve">Executed endpoint</w:t>
            </w:r>
          </w:p>
        </w:tc>
        <w:tc>
          <w:tcPr>
            <w:tcW w:type="dxa" w:w="1728"/>
          </w:tcPr>
          <w:p>
            <w:pPr>
              <w:pStyle w:val="Compact"/>
              <w:spacing w:before="0" w:after="0" w:line="240" w:lineRule="auto"/>
              <w:jc w:val="center"/>
            </w:pPr>
            <w:r>
              <w:rPr>
                <w:sz w:val="16"/>
              </w:rPr>
              <w:t xml:space="preserve">1.003</w:t>
            </w:r>
          </w:p>
        </w:tc>
        <w:tc>
          <w:tcPr>
            <w:tcW w:type="dxa" w:w="3816"/>
          </w:tcPr>
          <w:p>
            <w:pPr>
              <w:pStyle w:val="Compact"/>
              <w:spacing w:before="0" w:after="0" w:line="240" w:lineRule="auto"/>
              <w:jc w:val="center"/>
            </w:pPr>
            <w:r>
              <w:rPr>
                <w:sz w:val="16"/>
              </w:rPr>
              <w:t xml:space="preserve">0.851 [0.766, 0.922]</w:t>
            </w:r>
          </w:p>
        </w:tc>
        <w:tc>
          <w:tcPr>
            <w:tcW w:type="dxa" w:w="1872"/>
          </w:tcPr>
          <w:p>
            <w:pPr>
              <w:pStyle w:val="Compact"/>
              <w:spacing w:before="0" w:after="0" w:line="240" w:lineRule="auto"/>
              <w:jc w:val="center"/>
            </w:pPr>
            <w:r>
              <w:rPr>
                <w:sz w:val="16"/>
              </w:rPr>
              <w:t xml:space="preserve">85%</w:t>
            </w:r>
          </w:p>
        </w:tc>
      </w:tr>
    </w:tbl>
    <w:bookmarkEnd w:id="42"/>
    <w:bookmarkStart w:id="46" w:name="fig:cosmos3_kv"/>
    <w:p>
      <w:pPr>
        <w:pStyle w:val="CaptionedFigure"/>
      </w:pPr>
      <w:r>
        <w:drawing>
          <wp:inline>
            <wp:extent cx="4267200" cy="3443551"/>
            <wp:effectExtent b="0" l="0" r="0" t="0"/>
            <wp:docPr descr="" title="" id="44" name="Picture"/>
            <a:graphic>
              <a:graphicData uri="http://schemas.openxmlformats.org/drawingml/2006/picture">
                <pic:pic>
                  <pic:nvPicPr>
                    <pic:cNvPr descr="figures/figure4_cosmos3_kv_pathway.png" id="45" name="Picture"/>
                    <pic:cNvPicPr>
                      <a:picLocks noChangeArrowheads="1" noChangeAspect="1"/>
                    </pic:cNvPicPr>
                  </pic:nvPicPr>
                  <pic:blipFill>
                    <a:blip r:embed="rId43"/>
                    <a:stretch>
                      <a:fillRect/>
                    </a:stretch>
                  </pic:blipFill>
                  <pic:spPr bwMode="auto">
                    <a:xfrm>
                      <a:off x="0" y="0"/>
                      <a:ext cx="4267200" cy="3443551"/>
                    </a:xfrm>
                    <a:prstGeom prst="rect">
                      <a:avLst/>
                    </a:prstGeom>
                    <a:noFill/>
                    <a:ln w="9525">
                      <a:noFill/>
                      <a:headEnd/>
                      <a:tailEnd/>
                    </a:ln>
                  </pic:spPr>
                </pic:pic>
              </a:graphicData>
            </a:graphic>
          </wp:inline>
        </w:drawing>
      </w:r>
    </w:p>
    <w:p>
      <w:pPr>
        <w:pStyle w:val="ImageCaption"/>
      </w:pPr>
      <w:r>
        <w:t xml:space="preserve">Cosmos 3 future-token K/V replacement. Panels (a)–(c) connect each state’s unpatched donor steering to its value after donor-future keys and values are replaced by self-future keys and values. The black diamonds and whiskers are means and 95% state-bootstrap intervals; colored points identify the six RoboLab tasks. Replacement reduces predicted-action, executed-action, and executed-endpoint steering in all 22 states, leaving mean residual steering of</w:t>
      </w:r>
      <w:r>
        <w:t xml:space="preserve"> </w:t>
      </w:r>
      <m:oMath>
        <m:r>
          <m:t>0.115</m:t>
        </m:r>
      </m:oMath>
      <w:r>
        <w:t xml:space="preserve">,</w:t>
      </w:r>
      <w:r>
        <w:t xml:space="preserve"> </w:t>
      </w:r>
      <m:oMath>
        <m:r>
          <m:t>0.169</m:t>
        </m:r>
      </m:oMath>
      <w:r>
        <w:t xml:space="preserve">, and</w:t>
      </w:r>
      <w:r>
        <w:t xml:space="preserve"> </w:t>
      </w:r>
      <m:oMath>
        <m:r>
          <m:t>0.152</m:t>
        </m:r>
      </m:oMath>
      <w:r>
        <w:t xml:space="preserve">. Panel (d) reports the same intervention as replacement loss (unpatched minus replaced); positive values indicate that the pathway carries donor-specific influence.</w:t>
      </w:r>
    </w:p>
    <w:bookmarkEnd w:id="46"/>
    <w:bookmarkEnd w:id="47"/>
    <w:bookmarkEnd w:id="48"/>
    <w:bookmarkStart w:id="53" w:name="sec:policy_scope"/>
    <w:p>
      <w:pPr>
        <w:pStyle w:val="Heading2"/>
      </w:pPr>
      <w:r>
        <w:rPr>
          <w:rStyle w:val="SectionNumber"/>
        </w:rPr>
        <w:t xml:space="preserve">4.4</w:t>
      </w:r>
      <w:r>
        <w:tab/>
      </w:r>
      <w:r>
        <w:t xml:space="preserve">Where is the Cosmos Policy effect concentrated?</w:t>
      </w:r>
    </w:p>
    <w:p>
      <w:pPr>
        <w:pStyle w:val="FirstParagraph"/>
      </w:pPr>
      <w:r>
        <w:t xml:space="preserve">Figure </w:t>
      </w:r>
      <w:hyperlink w:anchor="fig:policy_scope">
        <w:r>
          <w:rPr>
            <w:rStyle w:val="Hyperlink"/>
          </w:rPr>
          <w:t xml:space="preserve">5</w:t>
        </w:r>
      </w:hyperlink>
      <w:r>
        <w:t xml:space="preserve"> </w:t>
      </w:r>
      <w:r>
        <w:t xml:space="preserve">summarizes three scope checks for Cosmos Policy. Panel a shows a strong first-query effect, followed by near-zero estimates in the separately sampled states after three and six open-loop chunks: action and endpoint steering are</w:t>
      </w:r>
      <w:r>
        <w:t xml:space="preserve"> </w:t>
      </w:r>
      <m:oMath>
        <m:r>
          <m:t>0.031</m:t>
        </m:r>
      </m:oMath>
      <w:r>
        <w:t xml:space="preserve"> </w:t>
      </w:r>
      <w:r>
        <w:t xml:space="preserve">and</w:t>
      </w:r>
      <w:r>
        <w:t xml:space="preserve"> </w:t>
      </w:r>
      <m:oMath>
        <m:r>
          <m:t>0.004</m:t>
        </m:r>
      </m:oMath>
      <w:r>
        <w:t xml:space="preserve"> </w:t>
      </w:r>
      <w:r>
        <w:t xml:space="preserve">after three chunks, and</w:t>
      </w:r>
      <w:r>
        <w:t xml:space="preserve"> </w:t>
      </w:r>
      <m:oMath>
        <m:r>
          <m:t>0.027</m:t>
        </m:r>
      </m:oMath>
      <w:r>
        <w:t xml:space="preserve"> </w:t>
      </w:r>
      <w:r>
        <w:t xml:space="preserve">and</w:t>
      </w:r>
      <w:r>
        <w:t xml:space="preserve"> </w:t>
      </w:r>
      <m:oMath>
        <m:r>
          <m:t>0.025</m:t>
        </m:r>
      </m:oMath>
      <w:r>
        <w:t xml:space="preserve"> </w:t>
      </w:r>
      <w:r>
        <w:t xml:space="preserve">after six. This demonstrates state dependence associated with query time, not causal decay within a fixed state. Panel b shows that the early action effect is concentrated in the wrist-camera future (</w:t>
      </w:r>
      <m:oMath>
        <m:r>
          <m:t>0.435</m:t>
        </m:r>
      </m:oMath>
      <w:r>
        <w:t xml:space="preserve">), with a smaller primary-camera effect (</w:t>
      </w:r>
      <m:oMath>
        <m:r>
          <m:t>0.101</m:t>
        </m:r>
      </m:oMath>
      <w:r>
        <w:t xml:space="preserve">) and no measurable proprioceptive effect (</w:t>
      </w:r>
      <m:oMath>
        <m:r>
          <m:t>0.001</m:t>
        </m:r>
      </m:oMath>
      <w:r>
        <w:t xml:space="preserve">). Panel c asks how much more strongly the paired donor steers than each control. Its roughly</w:t>
      </w:r>
      <w:r>
        <w:t xml:space="preserve"> </w:t>
      </w:r>
      <m:oMath>
        <m:r>
          <m:t>0.5</m:t>
        </m:r>
      </m:oMath>
      <w:r>
        <w:t xml:space="preserve"> </w:t>
      </w:r>
      <w:r>
        <w:t xml:space="preserve">donor-minus-self and donor-minus-Gaussian values reflect the primary effect and the ineffectiveness of matched noise; the smaller natural-control advantage (</w:t>
      </w:r>
      <m:oMath>
        <m:r>
          <m:t>0.103</m:t>
        </m:r>
      </m:oMath>
      <w:r>
        <w:t xml:space="preserve"> </w:t>
      </w:r>
      <w:r>
        <w:t xml:space="preserve">for action and</w:t>
      </w:r>
      <w:r>
        <w:t xml:space="preserve"> </w:t>
      </w:r>
      <m:oMath>
        <m:r>
          <m:t>0.110</m:t>
        </m:r>
      </m:oMath>
      <w:r>
        <w:t xml:space="preserve"> </w:t>
      </w:r>
      <w:r>
        <w:t xml:space="preserve">for endpoint, each positive in 8/10 tasks) is the more stringent content-specific comparison. The shuffled-control advantage is intermediate. Together, these panels localize the Cosmos Policy result to early visual futures while retaining an advantage over other valid futures.</w:t>
      </w:r>
    </w:p>
    <w:bookmarkStart w:id="52" w:name="fig:policy_scope"/>
    <w:p>
      <w:pPr>
        <w:pStyle w:val="CaptionedFigure"/>
      </w:pPr>
      <w:r>
        <w:drawing>
          <wp:inline>
            <wp:extent cx="4267200" cy="1825304"/>
            <wp:effectExtent b="0" l="0" r="0" t="0"/>
            <wp:docPr descr="" title="" id="50" name="Picture"/>
            <a:graphic>
              <a:graphicData uri="http://schemas.openxmlformats.org/drawingml/2006/picture">
                <pic:pic>
                  <pic:nvPicPr>
                    <pic:cNvPr descr="figures/figure5_cosmos_policy_scope.png" id="51" name="Picture"/>
                    <pic:cNvPicPr>
                      <a:picLocks noChangeArrowheads="1" noChangeAspect="1"/>
                    </pic:cNvPicPr>
                  </pic:nvPicPr>
                  <pic:blipFill>
                    <a:blip r:embed="rId49"/>
                    <a:stretch>
                      <a:fillRect/>
                    </a:stretch>
                  </pic:blipFill>
                  <pic:spPr bwMode="auto">
                    <a:xfrm>
                      <a:off x="0" y="0"/>
                      <a:ext cx="4267200" cy="1825304"/>
                    </a:xfrm>
                    <a:prstGeom prst="rect">
                      <a:avLst/>
                    </a:prstGeom>
                    <a:noFill/>
                    <a:ln w="9525">
                      <a:noFill/>
                      <a:headEnd/>
                      <a:tailEnd/>
                    </a:ln>
                  </pic:spPr>
                </pic:pic>
              </a:graphicData>
            </a:graphic>
          </wp:inline>
        </w:drawing>
      </w:r>
    </w:p>
    <w:p>
      <w:pPr>
        <w:pStyle w:val="ImageCaption"/>
      </w:pPr>
      <w:r>
        <w:t xml:space="preserve">Scope of the Cosmos Policy effect. (a) Paired-donor steering for the first query and for distinct states sampled after three and six open-loop chunks. (b) First-query action steering when all future inputs, only the wrist-camera future, only the primary-camera future, or only future proprioception is transplanted. (c) First-query donor advantage over self, matched-Gaussian, natural-future, and shuffled-future controls. Blue circles denote actions and open orange squares denote executed endpoints; small symbols are tasks and large symbols with whiskers are means and 95% task-bootstrap intervals. The dashed line marks the prespecified</w:t>
      </w:r>
      <w:r>
        <w:t xml:space="preserve"> </w:t>
      </w:r>
      <m:oMath>
        <m:r>
          <m:t>0.10</m:t>
        </m:r>
      </m:oMath>
      <w:r>
        <w:t xml:space="preserve"> </w:t>
      </w:r>
      <w:r>
        <w:t xml:space="preserve">smallest effect of interest.</w:t>
      </w:r>
    </w:p>
    <w:bookmarkEnd w:id="52"/>
    <w:bookmarkEnd w:id="53"/>
    <w:bookmarkEnd w:id="54"/>
    <w:bookmarkStart w:id="57" w:name="sec:discussion"/>
    <w:p>
      <w:pPr>
        <w:pStyle w:val="Heading1"/>
      </w:pPr>
      <w:r>
        <w:rPr>
          <w:rStyle w:val="SectionNumber"/>
        </w:rPr>
        <w:t xml:space="preserve">5</w:t>
      </w:r>
      <w:r>
        <w:tab/>
      </w: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55" w:name="limitations."/>
    <w:p>
      <w:pPr>
        <w:keepNext/>
        <w:spacing w:before="160" w:after="40"/>
      </w:pPr>
      <w:r>
        <w:rPr>
          <w:b/>
          <w:i w:val="0"/>
          <w:color w:val="1F637D"/>
        </w:rPr>
        <w:t>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55"/>
    <w:bookmarkStart w:id="56" w:name="broader-impact."/>
    <w:p>
      <w:pPr>
        <w:keepNext/>
        <w:spacing w:before="160" w:after="40"/>
      </w:pPr>
      <w:r>
        <w:rPr>
          <w:b/>
          <w:i w:val="0"/>
          <w:color w:val="1F637D"/>
        </w:rPr>
        <w:t>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56"/>
    <w:bookmarkEnd w:id="57"/>
    <w:bookmarkStart w:id="58" w:name="conclusion"/>
    <w:p>
      <w:pPr>
        <w:pStyle w:val="Heading1"/>
      </w:pPr>
      <w:r>
        <w:rPr>
          <w:rStyle w:val="SectionNumber"/>
        </w:rPr>
        <w:t xml:space="preserve">6</w:t>
      </w:r>
      <w:r>
        <w:tab/>
      </w:r>
      <w:r>
        <w:t xml:space="preserve">Conclusion</w:t>
      </w:r>
    </w:p>
    <w:p>
      <w:pPr>
        <w:pStyle w:val="FirstParagraph"/>
      </w:pPr>
      <w:r>
        <w:t xml:space="preserve">Reachable-donor transplantation turns the broad question of whether a world action model</w:t>
      </w:r>
      <w:r>
        <w:t xml:space="preserve"> </w:t>
      </w:r>
      <w:r>
        <w:t xml:space="preserve">“uses”</w:t>
      </w:r>
      <w:r>
        <w:t xml:space="preserve"> </w:t>
      </w:r>
      <w:r>
        <w:t xml:space="preserve">its future into a directional causal test. In Cosmos 3, predicted and physically executed donor futures produce nearly complete donor-directed action steering across 22 states and six tasks, and the resulting one-chunk endpoints move in the same direction. Replacing donor-future keys and values with self-future counterparts removes 83–88% of this steering in every state. Cosmos Policy shows a smaller but related early-state effect that survives execution and exceeds natural, shuffled, and geometry-matched controls.</w:t>
      </w:r>
    </w:p>
    <w:p>
      <w:pPr>
        <w:pStyle w:val="BodyText"/>
      </w:pPr>
      <w:r>
        <w:t xml:space="preserve">These experiments establish content-specific future conditioning in two direct policies, not planning over predicted outcomes. Cosmos Policy’s pattern is most consistent with camera-visible robot motion, whereas Cosmos 3’s whole-future effect is not reproduced by either isolated robot or object pixels. Determining whether these mechanisms support consequence-sensitive choice will require donors with stable differences in task success or value, longer-horizon evaluation, and finer-grained interventions on the remaining pathways.</w:t>
      </w:r>
    </w:p>
    <w:bookmarkEnd w:id="58"/>
    <w:bookmarkStart w:id="63" w:name="app:reproducibility"/>
    <w:p>
      <w:pPr>
        <w:pStyle w:val="Heading1"/>
      </w:pPr>
      <w:r>
        <w:rPr>
          <w:rStyle w:val="SectionNumber"/>
        </w:rPr>
        <w:t xml:space="preserve">7</w:t>
      </w:r>
      <w:r>
        <w:tab/>
      </w:r>
      <w:r>
        <w:t xml:space="preserve">Reproducibility and Protocol Details</w:t>
      </w:r>
    </w:p>
    <w:bookmarkStart w:id="59" w:name="experimental-settings-and-frozen-designs"/>
    <w:p>
      <w:pPr>
        <w:pStyle w:val="Heading2"/>
      </w:pPr>
      <w:r>
        <w:rPr>
          <w:rStyle w:val="SectionNumber"/>
        </w:rPr>
        <w:t xml:space="preserve">7.1</w:t>
      </w:r>
      <w:r>
        <w:tab/>
      </w:r>
      <w:r>
        <w:t xml:space="preserve">Experimental settings and frozen designs</w:t>
      </w:r>
    </w:p>
    <w:p>
      <w:pPr>
        <w:pStyle w:val="FirstParagraph"/>
      </w:pPr>
      <w:r>
        <w:t xml:space="preserve">The Cosmos Policy experiments use the public</w:t>
      </w:r>
      <w:r>
        <w:t xml:space="preserve"> </w:t>
      </w:r>
      <w:r>
        <w:rPr>
          <w:rStyle w:val="VerbatimChar"/>
        </w:rPr>
        <w:t xml:space="preserve">Cosmos-Policy-LIBERO-Predict2-2B</w:t>
      </w:r>
      <w:r>
        <w:t xml:space="preserve"> </w:t>
      </w:r>
      <w:r>
        <w:t xml:space="preserve">checkpoint, LIBERO-Long, PyTorch 2.7 with CUDA 12.8, and two NVIDIA H100 80GB GPUs. The frozen design contains ten tasks, three state indices, eight native policy runs per state, one reciprocal donor pair per state, and three future-noise draws per direction. The observation prefix, instruction, recipient action noise, future-noise schedule, tokenizer settings, and denoising schedule are held fixed within an intervention comparison.</w:t>
      </w:r>
    </w:p>
    <w:p>
      <w:pPr>
        <w:pStyle w:val="BodyText"/>
      </w:pPr>
      <w:r>
        <w:t xml:space="preserve">The Cosmos 3 experiments use the public 16B</w:t>
      </w:r>
      <w:r>
        <w:t xml:space="preserve"> </w:t>
      </w:r>
      <w:r>
        <w:rPr>
          <w:rStyle w:val="VerbatimChar"/>
        </w:rPr>
        <w:t xml:space="preserve">Cosmos3-Nano-Policy-DROID</w:t>
      </w:r>
      <w:r>
        <w:t xml:space="preserve"> </w:t>
      </w:r>
      <w:r>
        <w:t xml:space="preserve">checkpoint with the released Cosmos, Cosmos Framework, and RoboLab evaluation stack. The frozen population screen selected 24 state clusters across six eligible tasks, capped at four clusters per task, using only native success, donor separation, and replay-validity information. Twenty-two clusters completed. The separate robot/object factor study selected 12 clusters by native object-position separation and completed its prespecified minimum of ten across all six tasks.</w:t>
      </w:r>
    </w:p>
    <w:bookmarkEnd w:id="59"/>
    <w:bookmarkStart w:id="60" w:name="X2d8ba304b1db1d405b05781e108407f94728cc7"/>
    <w:p>
      <w:pPr>
        <w:pStyle w:val="Heading2"/>
      </w:pPr>
      <w:r>
        <w:rPr>
          <w:rStyle w:val="SectionNumber"/>
        </w:rPr>
        <w:t xml:space="preserve">7.2</w:t>
      </w:r>
      <w:r>
        <w:tab/>
      </w:r>
      <w:r>
        <w:t xml:space="preserve">State restoration, execution, and missingness</w:t>
      </w:r>
    </w:p>
    <w:p>
      <w:pPr>
        <w:pStyle w:val="FirstParagraph"/>
      </w:pPr>
      <w:r>
        <w:t xml:space="preserve">Each endpoint comparison begins from an identical saved simulator state. Evaluation reconstructs the environment, restores that state, replays the observation prefix, verifies the restored observation, and then executes one recomputed action chunk. Recipient and donor endpoints are produced by the same restoration and execution procedure. This design makes the endpoint projection a comparison between reachable continuations of one physical state rather than between unrelated trajectories.</w:t>
      </w:r>
    </w:p>
    <w:p>
      <w:pPr>
        <w:pStyle w:val="BodyText"/>
      </w:pPr>
      <w:r>
        <w:t xml:space="preserve">Two frozen Cosmos 3 population units were unavailable because their registered source branches ended after 21 and 29 actions, before producing the required 32-action, 33-frame intervention source. Neither unit was replaced, and no intervention outcome entered the decision to retain or omit a state. The completed population therefore exceeds the prespecified minimum of 20 states across at least five tasks. The factor study likewise meets its minimum of ten states across at least five tasks.</w:t>
      </w:r>
    </w:p>
    <w:bookmarkEnd w:id="60"/>
    <w:bookmarkStart w:id="61" w:name="intervention-validity-and-controls"/>
    <w:p>
      <w:pPr>
        <w:pStyle w:val="Heading2"/>
      </w:pPr>
      <w:r>
        <w:rPr>
          <w:rStyle w:val="SectionNumber"/>
        </w:rPr>
        <w:t xml:space="preserve">7.3</w:t>
      </w:r>
      <w:r>
        <w:tab/>
      </w:r>
      <w:r>
        <w:t xml:space="preserve">Intervention validity and controls</w:t>
      </w:r>
    </w:p>
    <w:p>
      <w:pPr>
        <w:pStyle w:val="FirstParagraph"/>
      </w:pPr>
      <w:r>
        <w:t xml:space="preserve">The self-future condition passes the recipient’s own future through the complete intervention machinery. For Cosmos 3, identity token-layout capture, sampler wrapping, cache record/replay, and self-patching reproduce baseline actions bitwise. Sentinels at the sampler boundary confirm that future transplantation does not write directly into action coordinates. The future-token pathway experiment preserves token count and order while leaving current-video, language, action, and all non-targeted key/value states unchanged.</w:t>
      </w:r>
    </w:p>
    <w:p>
      <w:pPr>
        <w:pStyle w:val="BodyText"/>
      </w:pPr>
      <w:r>
        <w:t xml:space="preserve">The geometry-matched Gaussian control has the same norm and recipient distance as the donor displacement but no coherent content. Natural controls are valid unpaired continuations selected without intervention outcomes, and shuffled controls use another future from the same task. These comparisons distinguish exact recomputation, perturbation magnitude, generic alternative-future effects, and pair-specific content. Executed-future conditions add a separate realizability check by encoding frames generated when a native donor action is physically replayed in the simulator.</w:t>
      </w:r>
    </w:p>
    <w:bookmarkEnd w:id="61"/>
    <w:bookmarkStart w:id="62" w:name="statistical-conventions"/>
    <w:p>
      <w:pPr>
        <w:pStyle w:val="Heading2"/>
      </w:pPr>
      <w:r>
        <w:rPr>
          <w:rStyle w:val="SectionNumber"/>
        </w:rPr>
        <w:t xml:space="preserve">7.4</w:t>
      </w:r>
      <w:r>
        <w:tab/>
      </w:r>
      <w:r>
        <w:t xml:space="preserve">Statistical conventions</w:t>
      </w:r>
    </w:p>
    <w:p>
      <w:pPr>
        <w:pStyle w:val="FirstParagraph"/>
      </w:pPr>
      <w:r>
        <w:t xml:space="preserve">The independent unit is the restored simulator state. Reciprocal directions, donor choices, noise draws, and repeated processes are averaged within state before any population summary. Reported 95% intervals use 10,000 percentile-bootstrap resamples of states; task-balanced checks first average within task and then resample tasks. The</w:t>
      </w:r>
      <w:r>
        <w:t xml:space="preserve"> </w:t>
      </w:r>
      <m:oMath>
        <m:r>
          <m:t>0.10</m:t>
        </m:r>
      </m:oMath>
      <w:r>
        <w:t xml:space="preserve"> </w:t>
      </w:r>
      <w:r>
        <w:t xml:space="preserve">smallest effect of interest was fixed before the Cosmos Policy confirmatory family and the Cosmos 3 population and factor families were evaluated. Sign tests use state-level directions and Holm correction for each prespecified family.</w:t>
      </w:r>
    </w:p>
    <w:bookmarkEnd w:id="62"/>
    <w:bookmarkEnd w:id="63"/>
    <w:bookmarkStart w:id="130" w:name="app:additional"/>
    <w:p>
      <w:pPr>
        <w:pStyle w:val="Heading1"/>
      </w:pPr>
      <w:r>
        <w:rPr>
          <w:rStyle w:val="SectionNumber"/>
        </w:rPr>
        <w:t xml:space="preserve">8</w:t>
      </w:r>
      <w:r>
        <w:tab/>
      </w:r>
      <w:r>
        <w:t xml:space="preserve">Additional Experiments and Diagnostics</w:t>
      </w:r>
    </w:p>
    <w:bookmarkStart w:id="68" w:name="condition-level-cosmos-3-projections"/>
    <w:p>
      <w:pPr>
        <w:pStyle w:val="Heading2"/>
      </w:pPr>
      <w:r>
        <w:rPr>
          <w:rStyle w:val="SectionNumber"/>
        </w:rPr>
        <w:t xml:space="preserve">8.1</w:t>
      </w:r>
      <w:r>
        <w:tab/>
      </w:r>
      <w:r>
        <w:t xml:space="preserve">Condition-level Cosmos 3 projections</w:t>
      </w:r>
    </w:p>
    <w:p>
      <w:pPr>
        <w:pStyle w:val="FirstParagraph"/>
      </w:pPr>
      <w:r>
        <w:t xml:space="preserve">Figure </w:t>
      </w:r>
      <w:hyperlink w:anchor="fig:app_cosmos3_conditions">
        <w:r>
          <w:rPr>
            <w:rStyle w:val="Hyperlink"/>
          </w:rPr>
          <w:t xml:space="preserve">6</w:t>
        </w:r>
      </w:hyperlink>
      <w:r>
        <w:t xml:space="preserve"> </w:t>
      </w:r>
      <w:r>
        <w:t xml:space="preserve">shows the condition estimates before they are converted into donor-minus-control contrasts. Predicted self-future recomputation stays at zero, natural futures produce partial donor-directed movement, and paired donors cluster near one. For executed futures, the matched Gaussian remains near zero while both action and endpoint effects preserve the same ordering. The state-level display also makes clear that the endpoint conclusion is not produced by a single task or a single extreme unit.</w:t>
      </w:r>
    </w:p>
    <w:bookmarkStart w:id="67" w:name="fig:app_cosmos3_conditions"/>
    <w:p>
      <w:pPr>
        <w:pStyle w:val="CaptionedFigure"/>
      </w:pPr>
      <w:r>
        <w:drawing>
          <wp:inline>
            <wp:extent cx="5334000" cy="2172355"/>
            <wp:effectExtent b="0" l="0" r="0" t="0"/>
            <wp:docPr descr="" title="" id="65" name="Picture"/>
            <a:graphic>
              <a:graphicData uri="http://schemas.openxmlformats.org/drawingml/2006/picture">
                <pic:pic>
                  <pic:nvPicPr>
                    <pic:cNvPr descr="figures/appendix_cosmos3_condition_projections.png" id="66" name="Picture"/>
                    <pic:cNvPicPr>
                      <a:picLocks noChangeArrowheads="1" noChangeAspect="1"/>
                    </pic:cNvPicPr>
                  </pic:nvPicPr>
                  <pic:blipFill>
                    <a:blip r:embed="rId64"/>
                    <a:stretch>
                      <a:fillRect/>
                    </a:stretch>
                  </pic:blipFill>
                  <pic:spPr bwMode="auto">
                    <a:xfrm>
                      <a:off x="0" y="0"/>
                      <a:ext cx="5334000" cy="2172355"/>
                    </a:xfrm>
                    <a:prstGeom prst="rect">
                      <a:avLst/>
                    </a:prstGeom>
                    <a:noFill/>
                    <a:ln w="9525">
                      <a:noFill/>
                      <a:headEnd/>
                      <a:tailEnd/>
                    </a:ln>
                  </pic:spPr>
                </pic:pic>
              </a:graphicData>
            </a:graphic>
          </wp:inline>
        </w:drawing>
      </w:r>
    </w:p>
    <w:p>
      <w:pPr>
        <w:pStyle w:val="ImageCaption"/>
      </w:pPr>
      <w:r>
        <w:t xml:space="preserve">Cosmos 3 condition-level projections across 22 restored states. Panels show predicted-future action, executed-future action, and executed-future endpoint results. Colored points are states grouped by task; black diamonds and whiskers are means and 95% state-bootstrap intervals. Zero denotes the recipient and one the paired donor. Natural controls retain partial donor-aligned content, whereas matched Gaussian targets remain near the recipient and paired donors lie near the native donor.</w:t>
      </w:r>
    </w:p>
    <w:bookmarkEnd w:id="67"/>
    <w:bookmarkEnd w:id="68"/>
    <w:bookmarkStart w:id="73" w:name="displacement-magnitude-diagnostic"/>
    <w:p>
      <w:pPr>
        <w:pStyle w:val="Heading2"/>
      </w:pPr>
      <w:r>
        <w:rPr>
          <w:rStyle w:val="SectionNumber"/>
        </w:rPr>
        <w:t xml:space="preserve">8.2</w:t>
      </w:r>
      <w:r>
        <w:tab/>
      </w:r>
      <w:r>
        <w:t xml:space="preserve">Displacement-magnitude diagnostic</w:t>
      </w:r>
    </w:p>
    <w:p>
      <w:pPr>
        <w:pStyle w:val="FirstParagraph"/>
      </w:pPr>
      <w:r>
        <w:t xml:space="preserve">Directional projection could be misleading if a large normalized estimate arose from an extremely small native denominator or from a negligible transplanted displacement. Figure </w:t>
      </w:r>
      <w:hyperlink w:anchor="fig:app_cosmos3_magnitudes">
        <w:r>
          <w:rPr>
            <w:rStyle w:val="Hyperlink"/>
          </w:rPr>
          <w:t xml:space="preserve">7</w:t>
        </w:r>
      </w:hyperlink>
      <w:r>
        <w:t xml:space="preserve"> </w:t>
      </w:r>
      <w:r>
        <w:t xml:space="preserve">therefore compares unnormalized recipient-to-donor separation with the magnitude induced by transplantation. Predicted-action and executed-endpoint displacements lie close to the identity line across the observed range; executed-action displacement is more variable but remains on the scale of the native difference. This diagnostic supports the interpretation that the intervention recreates a substantial behavioral displacement, not merely a tiny change that happens to align with the donor axis.</w:t>
      </w:r>
    </w:p>
    <w:bookmarkStart w:id="72" w:name="fig:app_cosmos3_magnitudes"/>
    <w:p>
      <w:pPr>
        <w:pStyle w:val="CaptionedFigure"/>
      </w:pPr>
      <w:r>
        <w:drawing>
          <wp:inline>
            <wp:extent cx="5334000" cy="2103324"/>
            <wp:effectExtent b="0" l="0" r="0" t="0"/>
            <wp:docPr descr="" title="" id="70" name="Picture"/>
            <a:graphic>
              <a:graphicData uri="http://schemas.openxmlformats.org/drawingml/2006/picture">
                <pic:pic>
                  <pic:nvPicPr>
                    <pic:cNvPr descr="figures/appendix_cosmos3_magnitude_checks.png" id="71" name="Picture"/>
                    <pic:cNvPicPr>
                      <a:picLocks noChangeArrowheads="1" noChangeAspect="1"/>
                    </pic:cNvPicPr>
                  </pic:nvPicPr>
                  <pic:blipFill>
                    <a:blip r:embed="rId69"/>
                    <a:stretch>
                      <a:fillRect/>
                    </a:stretch>
                  </pic:blipFill>
                  <pic:spPr bwMode="auto">
                    <a:xfrm>
                      <a:off x="0" y="0"/>
                      <a:ext cx="5334000" cy="2103324"/>
                    </a:xfrm>
                    <a:prstGeom prst="rect">
                      <a:avLst/>
                    </a:prstGeom>
                    <a:noFill/>
                    <a:ln w="9525">
                      <a:noFill/>
                      <a:headEnd/>
                      <a:tailEnd/>
                    </a:ln>
                  </pic:spPr>
                </pic:pic>
              </a:graphicData>
            </a:graphic>
          </wp:inline>
        </w:drawing>
      </w:r>
    </w:p>
    <w:p>
      <w:pPr>
        <w:pStyle w:val="ImageCaption"/>
      </w:pPr>
      <w:r>
        <w:t xml:space="preserve">Cosmos 3 magnitude checks. Native recipient-to-donor separation is plotted against the unnormalized displacement caused by donor-future transplantation for predicted actions, executed-future actions, and executed endpoints. The dashed identity line denotes equality of magnitudes; colors identify tasks. These plots complement normalized projection by showing the absolute scale of the induced change.</w:t>
      </w:r>
    </w:p>
    <w:bookmarkEnd w:id="72"/>
    <w:bookmarkEnd w:id="73"/>
    <w:bookmarkStart w:id="74" w:name="X028b667e03a416e85c681c4b39876e9584c064d"/>
    <w:p>
      <w:pPr>
        <w:pStyle w:val="Heading2"/>
      </w:pPr>
      <w:r>
        <w:rPr>
          <w:rStyle w:val="SectionNumber"/>
        </w:rPr>
        <w:t xml:space="preserve">8.3</w:t>
      </w:r>
      <w:r>
        <w:tab/>
      </w:r>
      <w:r>
        <w:t xml:space="preserve">Cosmos Policy timing and cross-domain checks</w:t>
      </w:r>
    </w:p>
    <w:p>
      <w:pPr>
        <w:pStyle w:val="FirstParagraph"/>
      </w:pPr>
      <w:r>
        <w:t xml:space="preserve">Across all 30 registered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The first-query, after-three-chunk, and after-six-chunk action estimates are</w:t>
      </w:r>
      <w:r>
        <w:t xml:space="preserve"> </w:t>
      </w:r>
      <m:oMath>
        <m:r>
          <m:t>0.499</m:t>
        </m:r>
      </m:oMath>
      <w:r>
        <w:t xml:space="preserve">,</w:t>
      </w:r>
      <w:r>
        <w:t xml:space="preserve"> </w:t>
      </w:r>
      <m:oMath>
        <m:r>
          <m:t>0.031</m:t>
        </m:r>
      </m:oMath>
      <w:r>
        <w:t xml:space="preserve">, and</w:t>
      </w:r>
      <w:r>
        <w:t xml:space="preserve"> </w:t>
      </w:r>
      <m:oMath>
        <m:r>
          <m:t>0.027</m:t>
        </m:r>
      </m:oMath>
      <w:r>
        <w:t xml:space="preserve">; the corresponding endpoint estimates are</w:t>
      </w:r>
      <w:r>
        <w:t xml:space="preserve"> </w:t>
      </w:r>
      <m:oMath>
        <m:r>
          <m:t>0.552</m:t>
        </m:r>
      </m:oMath>
      <w:r>
        <w:t xml:space="preserve">,</w:t>
      </w:r>
      <w:r>
        <w:t xml:space="preserve"> </w:t>
      </w:r>
      <m:oMath>
        <m:r>
          <m:t>0.004</m:t>
        </m:r>
      </m:oMath>
      <w:r>
        <w:t xml:space="preserve">, and</w:t>
      </w:r>
      <w:r>
        <w:t xml:space="preserve"> </w:t>
      </w:r>
      <m:oMath>
        <m:r>
          <m:t>0.025</m:t>
        </m:r>
      </m:oMath>
      <w:r>
        <w:t xml:space="preserve">. Because the three indices represent different physical states that may be nested within task trajectories, the first-query analysis is the cleaner confirmatory result and the differences should not be read as causal temporal decay.</w:t>
      </w:r>
    </w:p>
    <w:p>
      <w:pPr>
        <w:pStyle w:val="BodyText"/>
      </w:pPr>
      <w:r>
        <w:t xml:space="preserve">The six-state RoboCasa replication is exploratory and is not pooled with LIBERO</w:t>
      </w:r>
      <w:r>
        <w:t xml:space="preserve"> </w:t>
      </w:r>
      <w:r>
        <w:t xml:space="preserve">(Nasiriany et al. 2024)</w:t>
      </w:r>
      <w:r>
        <w:t xml:space="preserve">. Donor-minus-self action steering is</w:t>
      </w:r>
      <w:r>
        <w:t xml:space="preserve"> </w:t>
      </w:r>
      <m:oMath>
        <m:r>
          <m:t>0.0144</m:t>
        </m:r>
      </m:oMath>
      <w:r>
        <w:t xml:space="preserve"> </w:t>
      </w:r>
      <w:r>
        <w:t xml:space="preserve">(</w:t>
      </w:r>
      <m:oMath>
        <m:r>
          <m:rPr>
            <m:sty m:val="p"/>
          </m:rPr>
          <m:t>[</m:t>
        </m:r>
        <m:r>
          <m:t>0.0034</m:t>
        </m:r>
        <m:r>
          <m:rPr>
            <m:sty m:val="p"/>
          </m:rPr>
          <m:t>,</m:t>
        </m:r>
        <m:r>
          <m:t>0.0276</m:t>
        </m:r>
        <m:r>
          <m:rPr>
            <m:sty m:val="p"/>
          </m:rPr>
          <m:t>]</m:t>
        </m:r>
      </m:oMath>
      <w:r>
        <w:t xml:space="preserve">), but its donor-minus-Gaussian contrast is only</w:t>
      </w:r>
      <w:r>
        <w:t xml:space="preserve"> </w:t>
      </w:r>
      <m:oMath>
        <m:r>
          <m:t>0.0025</m:t>
        </m:r>
      </m:oMath>
      <w:r>
        <w:t xml:space="preserve"> </w:t>
      </w:r>
      <w:r>
        <w:t xml:space="preserve">and has an interval crossing zero. Endpoint steering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donor-minus-Gaussian endpoint steering is</w:t>
      </w:r>
      <w:r>
        <w:t xml:space="preserve"> </w:t>
      </w:r>
      <m:oMath>
        <m:r>
          <m:t>0.0187</m:t>
        </m:r>
      </m:oMath>
      <w:r>
        <w:t xml:space="preserve"> </w:t>
      </w:r>
      <w:r>
        <w:t xml:space="preserve">(</w:t>
      </w:r>
      <m:oMath>
        <m:r>
          <m:rPr>
            <m:sty m:val="p"/>
          </m:rPr>
          <m:t>[</m:t>
        </m:r>
        <m:r>
          <m:t>0.0063</m:t>
        </m:r>
        <m:r>
          <m:rPr>
            <m:sty m:val="p"/>
          </m:rPr>
          <m:t>,</m:t>
        </m:r>
        <m:r>
          <m:t>0.0329</m:t>
        </m:r>
        <m:r>
          <m:rPr>
            <m:sty m:val="p"/>
          </m:rPr>
          <m:t>]</m:t>
        </m:r>
      </m:oMath>
      <w:r>
        <w:t xml:space="preserve">), also positive in 6/6. The replication therefore supports a small executed-state effect while leaving action-space specificity uncertain.</w:t>
      </w:r>
    </w:p>
    <w:bookmarkEnd w:id="74"/>
    <w:bookmarkStart w:id="79" w:name="Xea45348ebb9713781cf8aa087c5f2ad8c5adba7"/>
    <w:p>
      <w:pPr>
        <w:pStyle w:val="Heading2"/>
      </w:pPr>
      <w:r>
        <w:rPr>
          <w:rStyle w:val="SectionNumber"/>
        </w:rPr>
        <w:t xml:space="preserve">8.4</w:t>
      </w:r>
      <w:r>
        <w:tab/>
      </w:r>
      <w:r>
        <w:t xml:space="preserve">Within-task relationships in Cosmos Policy</w:t>
      </w:r>
    </w:p>
    <w:p>
      <w:pPr>
        <w:pStyle w:val="FirstParagraph"/>
      </w:pPr>
      <w:r>
        <w:t xml:space="preserve">Figure </w:t>
      </w:r>
      <w:hyperlink w:anchor="fig:app_policy_relationships">
        <w:r>
          <w:rPr>
            <w:rStyle w:val="Hyperlink"/>
          </w:rPr>
          <w:t xml:space="preserve">8</w:t>
        </w:r>
      </w:hyperlink>
      <w:r>
        <w:t xml:space="preserve"> </w:t>
      </w:r>
      <w:r>
        <w:t xml:space="preserve">provides two task-level diagnostics at the first query. Action and executed-endpoint steering generally rise together, supporting the use of simulator execution as a behavioral continuation of the action result. Wrist-future steering also tracks all-future steering across tasks, consistent with the aggregate modality decomposition while showing that the wrist view does not reproduce the entire effect uniformly.</w:t>
      </w:r>
    </w:p>
    <w:bookmarkStart w:id="78" w:name="fig:app_policy_relationships"/>
    <w:p>
      <w:pPr>
        <w:pStyle w:val="CaptionedFigure"/>
      </w:pPr>
      <w:r>
        <w:drawing>
          <wp:inline>
            <wp:extent cx="4373880" cy="2290276"/>
            <wp:effectExtent b="0" l="0" r="0" t="0"/>
            <wp:docPr descr="" title="" id="76" name="Picture"/>
            <a:graphic>
              <a:graphicData uri="http://schemas.openxmlformats.org/drawingml/2006/picture">
                <pic:pic>
                  <pic:nvPicPr>
                    <pic:cNvPr descr="figures/appendix_cosmos_policy_relationships.png" id="77" name="Picture"/>
                    <pic:cNvPicPr>
                      <a:picLocks noChangeArrowheads="1" noChangeAspect="1"/>
                    </pic:cNvPicPr>
                  </pic:nvPicPr>
                  <pic:blipFill>
                    <a:blip r:embed="rId75"/>
                    <a:stretch>
                      <a:fillRect/>
                    </a:stretch>
                  </pic:blipFill>
                  <pic:spPr bwMode="auto">
                    <a:xfrm>
                      <a:off x="0" y="0"/>
                      <a:ext cx="4373880" cy="2290276"/>
                    </a:xfrm>
                    <a:prstGeom prst="rect">
                      <a:avLst/>
                    </a:prstGeom>
                    <a:noFill/>
                    <a:ln w="9525">
                      <a:noFill/>
                      <a:headEnd/>
                      <a:tailEnd/>
                    </a:ln>
                  </pic:spPr>
                </pic:pic>
              </a:graphicData>
            </a:graphic>
          </wp:inline>
        </w:drawing>
      </w:r>
    </w:p>
    <w:p>
      <w:pPr>
        <w:pStyle w:val="ImageCaption"/>
      </w:pPr>
      <w:r>
        <w:t xml:space="preserve">Cosmos Policy task-level relationships at the first query. (a) Donor-minus-self action steering versus executed-endpoint steering. (b) All-future action steering versus wrist-future action steering. Each point is one LIBERO-Long task and the dashed line is identity.</w:t>
      </w:r>
    </w:p>
    <w:bookmarkEnd w:id="78"/>
    <w:bookmarkEnd w:id="79"/>
    <w:bookmarkStart w:id="129" w:name="additional-content-and-pathway-checks"/>
    <w:p>
      <w:pPr>
        <w:pStyle w:val="Heading2"/>
      </w:pPr>
      <w:r>
        <w:rPr>
          <w:rStyle w:val="SectionNumber"/>
        </w:rPr>
        <w:t xml:space="preserve">8.5</w:t>
      </w:r>
      <w:r>
        <w:tab/>
      </w:r>
      <w:r>
        <w:t xml:space="preserve">Additional content and pathway checks</w:t>
      </w:r>
    </w:p>
    <w:p>
      <w:pPr>
        <w:pStyle w:val="FirstParagraph"/>
      </w:pPr>
      <w:r>
        <w:t xml:space="preserve">The Cosmos Policy rendered</w:t>
      </w:r>
      <w:r>
        <w:t xml:space="preserve"> </w:t>
      </w:r>
      <m:oMath>
        <m:r>
          <m:t>2</m:t>
        </m:r>
        <m:r>
          <m:rPr>
            <m:sty m:val="p"/>
          </m:rPr>
          <m:t>×</m:t>
        </m:r>
        <m:r>
          <m:t>2</m:t>
        </m:r>
      </m:oMath>
      <w:r>
        <w:t xml:space="preserve"> </w:t>
      </w:r>
      <w:r>
        <w:t xml:space="preserve">study supplies a manipulation check for the object-content null. Decoded futures identify the intended hybrid cell with 92.5% accuracy in the primary camera and 98.75% in the wrist camera, while executed endpoints identify the four cells at the 25% chance rate. Thus, the future representation visibly contains the imposed distinction even though the preregistered object main effect on action and goal-state endpoint is approximately zero. The complementary natural-pair search found only four states with both an object-divergent/robot-matched and a robot-divergent/object-matched donor at a common recipient; these exploratory data favor the robot-motion donor, but the available population is below the planned minimum of ten.</w:t>
      </w:r>
    </w:p>
    <w:p>
      <w:pPr>
        <w:pStyle w:val="BodyText"/>
      </w:pPr>
      <w:r>
        <w:t xml:space="preserve">The block-27 Cosmos Policy key-removal analysis includes two additional checks beyond the action-space dose curve reported in the main text. Full future-key removal changes the executed endpoint by an absolute mean projection of</w:t>
      </w:r>
      <w:r>
        <w:t xml:space="preserve"> </w:t>
      </w:r>
      <m:oMath>
        <m:r>
          <m:t>0.281</m:t>
        </m:r>
      </m:oMath>
      <w:r>
        <w:t xml:space="preserve"> </w:t>
      </w:r>
      <w:r>
        <w:t xml:space="preserve">(</w:t>
      </w:r>
      <m:oMath>
        <m:r>
          <m:rPr>
            <m:sty m:val="p"/>
          </m:rPr>
          <m:t>[</m:t>
        </m:r>
        <m:r>
          <m:t>0.164</m:t>
        </m:r>
        <m:r>
          <m:rPr>
            <m:sty m:val="p"/>
          </m:rPr>
          <m:t>,</m:t>
        </m:r>
        <m:r>
          <m:t>0.430</m:t>
        </m:r>
        <m:r>
          <m:rPr>
            <m:sty m:val="p"/>
          </m:rPr>
          <m:t>]</m:t>
        </m:r>
      </m:oMath>
      <w:r>
        <w:t xml:space="preserve">; 10/10 first-query states) and exceeds equal-count random-key removal by</w:t>
      </w:r>
      <w:r>
        <w:t xml:space="preserve"> </w:t>
      </w:r>
      <m:oMath>
        <m:r>
          <m:t>0.169</m:t>
        </m:r>
      </m:oMath>
      <w:r>
        <w:t xml:space="preserve"> </w:t>
      </w:r>
      <w:r>
        <w:t xml:space="preserve">(</w:t>
      </w:r>
      <m:oMath>
        <m:r>
          <m:rPr>
            <m:sty m:val="p"/>
          </m:rPr>
          <m:t>[</m:t>
        </m:r>
        <m:r>
          <m:t>0.058</m:t>
        </m:r>
        <m:r>
          <m:rPr>
            <m:sty m:val="p"/>
          </m:rPr>
          <m:t>,</m:t>
        </m:r>
        <m:r>
          <m:t>0.322</m:t>
        </m:r>
        <m:r>
          <m:rPr>
            <m:sty m:val="p"/>
          </m:rPr>
          <m:t>]</m:t>
        </m:r>
      </m:oMath>
      <w:r>
        <w:t xml:space="preserve">; 9/10). Its difference from equal-count current-key removal is −0.035 with an interval crossing zero. The endpoint analysis therefore supports an active future route at the first query while reinforcing the conclusion that this route is not uniquely dominant over current-state information.</w:t>
      </w:r>
    </w:p>
    <w:p>
      <w:pPr>
        <w:pStyle w:val="BodyText"/>
      </w:pPr>
      <w:r>
        <w:t xml:space="preserve">For Cosmos 3, task-balanced pathway-loss estimates are</w:t>
      </w:r>
      <w:r>
        <w:t xml:space="preserve"> </w:t>
      </w:r>
      <m:oMath>
        <m:r>
          <m:t>0.877</m:t>
        </m:r>
      </m:oMath>
      <w:r>
        <w:t xml:space="preserve"> </w:t>
      </w:r>
      <w:r>
        <w:t xml:space="preserve">for predicted actions,</w:t>
      </w:r>
      <w:r>
        <w:t xml:space="preserve"> </w:t>
      </w:r>
      <m:oMath>
        <m:r>
          <m:t>0.812</m:t>
        </m:r>
      </m:oMath>
      <w:r>
        <w:t xml:space="preserve"> </w:t>
      </w:r>
      <w:r>
        <w:t xml:space="preserve">for executed-future actions, and</w:t>
      </w:r>
      <w:r>
        <w:t xml:space="preserve"> </w:t>
      </w:r>
      <m:oMath>
        <m:r>
          <m:t>0.853</m:t>
        </m:r>
      </m:oMath>
      <w:r>
        <w:t xml:space="preserve"> </w:t>
      </w:r>
      <w:r>
        <w:t xml:space="preserve">for executed endpoints, closely matching the state-weighted estimates. The remaining steering after self-future K/V replacement is</w:t>
      </w:r>
      <w:r>
        <w:t xml:space="preserve"> </w:t>
      </w:r>
      <m:oMath>
        <m:r>
          <m:t>0.115</m:t>
        </m:r>
      </m:oMath>
      <w:r>
        <w:t xml:space="preserve">,</w:t>
      </w:r>
      <w:r>
        <w:t xml:space="preserve"> </w:t>
      </w:r>
      <m:oMath>
        <m:r>
          <m:t>0.169</m:t>
        </m:r>
      </m:oMath>
      <w:r>
        <w:t xml:space="preserve">, and</w:t>
      </w:r>
      <w:r>
        <w:t xml:space="preserve"> </w:t>
      </w:r>
      <m:oMath>
        <m:r>
          <m:t>0.152</m:t>
        </m:r>
      </m:oMath>
      <w:r>
        <w:t xml:space="preserve">, respectively. This residual motivates finer-grained tests of parallel attention heads, non-attention routes, and interactions between patched and unpatched components rather than a claim that the selected interface is the complete mechanism.</w:t>
      </w:r>
    </w:p>
    <w:bookmarkStart w:id="128" w:name="refs"/>
    <w:bookmarkStart w:id="81"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80">
        <w:r>
          <w:rPr>
            <w:rStyle w:val="Hyperlink"/>
          </w:rPr>
          <w:t xml:space="preserve">https://proceedings.neurips.cc/paper_files/paper/2023/hash/1d5b9233ad716a43be5c0d3023cb82d0-Abstract.html</w:t>
        </w:r>
      </w:hyperlink>
      <w:r>
        <w:t xml:space="preserve">.</w:t>
      </w:r>
    </w:p>
    <w:bookmarkEnd w:id="81"/>
    <w:bookmarkStart w:id="83"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82">
        <w:r>
          <w:rPr>
            <w:rStyle w:val="Hyperlink"/>
          </w:rPr>
          <w:t xml:space="preserve">https://openreview.net/forum?id=9pKtcJcMP3</w:t>
        </w:r>
      </w:hyperlink>
      <w:r>
        <w:t xml:space="preserve">.</w:t>
      </w:r>
    </w:p>
    <w:bookmarkEnd w:id="83"/>
    <w:bookmarkStart w:id="85"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84">
        <w:r>
          <w:rPr>
            <w:rStyle w:val="Hyperlink"/>
          </w:rPr>
          <w:t xml:space="preserve">https://arxiv.org/abs/1812.00568</w:t>
        </w:r>
      </w:hyperlink>
      <w:r>
        <w:t xml:space="preserve">.</w:t>
      </w:r>
    </w:p>
    <w:bookmarkEnd w:id="85"/>
    <w:bookmarkStart w:id="87"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86">
        <w:r>
          <w:rPr>
            <w:rStyle w:val="Hyperlink"/>
          </w:rPr>
          <w:t xml:space="preserve">https://doi.org/10.1111/j.1467-9868.2007.00593.x</w:t>
        </w:r>
      </w:hyperlink>
      <w:r>
        <w:t xml:space="preserve">.</w:t>
      </w:r>
    </w:p>
    <w:bookmarkEnd w:id="87"/>
    <w:bookmarkStart w:id="89"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88">
        <w:r>
          <w:rPr>
            <w:rStyle w:val="Hyperlink"/>
          </w:rPr>
          <w:t xml:space="preserve">https://doi.org/10.48550/arXiv.2304.05969</w:t>
        </w:r>
      </w:hyperlink>
      <w:r>
        <w:t xml:space="preserve">.</w:t>
      </w:r>
    </w:p>
    <w:bookmarkEnd w:id="89"/>
    <w:bookmarkStart w:id="91"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90">
        <w:r>
          <w:rPr>
            <w:rStyle w:val="Hyperlink"/>
          </w:rPr>
          <w:t xml:space="preserve">https://doi.org/10.52202/079017-3570</w:t>
        </w:r>
      </w:hyperlink>
      <w:r>
        <w:t xml:space="preserve">.</w:t>
      </w:r>
    </w:p>
    <w:bookmarkEnd w:id="91"/>
    <w:bookmarkStart w:id="93"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92">
        <w:r>
          <w:rPr>
            <w:rStyle w:val="Hyperlink"/>
          </w:rPr>
          <w:t xml:space="preserve">https://proceedings.mlr.press/v267/hu25g.html</w:t>
        </w:r>
      </w:hyperlink>
      <w:r>
        <w:t xml:space="preserve">.</w:t>
      </w:r>
    </w:p>
    <w:bookmarkEnd w:id="93"/>
    <w:bookmarkStart w:id="95"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94">
        <w:r>
          <w:rPr>
            <w:rStyle w:val="Hyperlink"/>
          </w:rPr>
          <w:t xml:space="preserve">https://openreview.net/forum?id=wPEIStHxYH</w:t>
        </w:r>
      </w:hyperlink>
      <w:r>
        <w:t xml:space="preserve">.</w:t>
      </w:r>
    </w:p>
    <w:bookmarkEnd w:id="95"/>
    <w:bookmarkStart w:id="97"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96">
        <w:r>
          <w:rPr>
            <w:rStyle w:val="Hyperlink"/>
          </w:rPr>
          <w:t xml:space="preserve">https://doi.org/10.1177/1948550617697177</w:t>
        </w:r>
      </w:hyperlink>
      <w:r>
        <w:t xml:space="preserve">.</w:t>
      </w:r>
    </w:p>
    <w:bookmarkEnd w:id="97"/>
    <w:bookmarkStart w:id="99"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98">
        <w:r>
          <w:rPr>
            <w:rStyle w:val="Hyperlink"/>
          </w:rPr>
          <w:t xml:space="preserve">https://doi.org/10.48550/arXiv.2503.00200</w:t>
        </w:r>
      </w:hyperlink>
      <w:r>
        <w:t xml:space="preserve">.</w:t>
      </w:r>
    </w:p>
    <w:bookmarkEnd w:id="99"/>
    <w:bookmarkStart w:id="101"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100">
        <w:r>
          <w:rPr>
            <w:rStyle w:val="Hyperlink"/>
          </w:rPr>
          <w:t xml:space="preserve">https://doi.org/10.52202/075280-1939</w:t>
        </w:r>
      </w:hyperlink>
      <w:r>
        <w:t xml:space="preserve">.</w:t>
      </w:r>
    </w:p>
    <w:bookmarkEnd w:id="101"/>
    <w:bookmarkStart w:id="103"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102">
        <w:r>
          <w:rPr>
            <w:rStyle w:val="Hyperlink"/>
          </w:rPr>
          <w:t xml:space="preserve">https://doi.org/10.52202/068431-1262</w:t>
        </w:r>
      </w:hyperlink>
      <w:r>
        <w:t xml:space="preserve">.</w:t>
      </w:r>
    </w:p>
    <w:bookmarkEnd w:id="103"/>
    <w:bookmarkStart w:id="105"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104">
        <w:r>
          <w:rPr>
            <w:rStyle w:val="Hyperlink"/>
          </w:rPr>
          <w:t xml:space="preserve">https://doi.org/10.15607/RSS.2024.XX.050</w:t>
        </w:r>
      </w:hyperlink>
      <w:r>
        <w:t xml:space="preserve">.</w:t>
      </w:r>
    </w:p>
    <w:bookmarkEnd w:id="105"/>
    <w:bookmarkStart w:id="107"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106">
        <w:r>
          <w:rPr>
            <w:rStyle w:val="Hyperlink"/>
          </w:rPr>
          <w:t xml:space="preserve">https://doi.org/10.48550/arXiv.2606.02800</w:t>
        </w:r>
      </w:hyperlink>
      <w:r>
        <w:t xml:space="preserve">.</w:t>
      </w:r>
    </w:p>
    <w:bookmarkEnd w:id="107"/>
    <w:bookmarkStart w:id="109"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108">
        <w:r>
          <w:rPr>
            <w:rStyle w:val="Hyperlink"/>
          </w:rPr>
          <w:t xml:space="preserve">https://huggingface.co/nvidia/Cosmos3-Nano-Policy-DROID</w:t>
        </w:r>
      </w:hyperlink>
      <w:r>
        <w:t xml:space="preserve">.</w:t>
      </w:r>
    </w:p>
    <w:bookmarkEnd w:id="109"/>
    <w:bookmarkStart w:id="111"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110">
        <w:r>
          <w:rPr>
            <w:rStyle w:val="Hyperlink"/>
          </w:rPr>
          <w:t xml:space="preserve">https://doi.org/10.48550/arXiv.2606.12217</w:t>
        </w:r>
      </w:hyperlink>
      <w:r>
        <w:t xml:space="preserve">.</w:t>
      </w:r>
    </w:p>
    <w:bookmarkEnd w:id="111"/>
    <w:bookmarkStart w:id="113"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112">
        <w:r>
          <w:rPr>
            <w:rStyle w:val="Hyperlink"/>
          </w:rPr>
          <w:t xml:space="preserve">https://doi.org/10.48550/arXiv.2606.27510</w:t>
        </w:r>
      </w:hyperlink>
      <w:r>
        <w:t xml:space="preserve">.</w:t>
      </w:r>
    </w:p>
    <w:bookmarkEnd w:id="113"/>
    <w:bookmarkStart w:id="115"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114">
        <w:r>
          <w:rPr>
            <w:rStyle w:val="Hyperlink"/>
          </w:rPr>
          <w:t xml:space="preserve">https://proceedings.neurips.cc/paper/2020/hash/92650b2e92217715fe312e6fa7b90d82-Abstract.html</w:t>
        </w:r>
      </w:hyperlink>
      <w:r>
        <w:t xml:space="preserve">.</w:t>
      </w:r>
    </w:p>
    <w:bookmarkEnd w:id="115"/>
    <w:bookmarkStart w:id="117"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116">
        <w:r>
          <w:rPr>
            <w:rStyle w:val="Hyperlink"/>
          </w:rPr>
          <w:t xml:space="preserve">https://doi.org/10.15607/RSS.2026.XXII.096</w:t>
        </w:r>
      </w:hyperlink>
      <w:r>
        <w:t xml:space="preserve">.</w:t>
      </w:r>
    </w:p>
    <w:bookmarkEnd w:id="117"/>
    <w:bookmarkStart w:id="119"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118">
        <w:r>
          <w:rPr>
            <w:rStyle w:val="Hyperlink"/>
          </w:rPr>
          <w:t xml:space="preserve">https://doi.org/10.48550/arXiv.2602.15922</w:t>
        </w:r>
      </w:hyperlink>
      <w:r>
        <w:t xml:space="preserve">.</w:t>
      </w:r>
    </w:p>
    <w:bookmarkEnd w:id="119"/>
    <w:bookmarkStart w:id="121"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120">
        <w:r>
          <w:rPr>
            <w:rStyle w:val="Hyperlink"/>
          </w:rPr>
          <w:t xml:space="preserve">https://doi.org/10.48550/arXiv.2603.16666</w:t>
        </w:r>
      </w:hyperlink>
      <w:r>
        <w:t xml:space="preserve">.</w:t>
      </w:r>
    </w:p>
    <w:bookmarkEnd w:id="121"/>
    <w:bookmarkStart w:id="123"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122">
        <w:r>
          <w:rPr>
            <w:rStyle w:val="Hyperlink"/>
          </w:rPr>
          <w:t xml:space="preserve">https://doi.org/10.48550/arXiv.2608.11521</w:t>
        </w:r>
      </w:hyperlink>
      <w:r>
        <w:t xml:space="preserve">.</w:t>
      </w:r>
    </w:p>
    <w:bookmarkEnd w:id="123"/>
    <w:bookmarkStart w:id="125"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124">
        <w:r>
          <w:rPr>
            <w:rStyle w:val="Hyperlink"/>
          </w:rPr>
          <w:t xml:space="preserve">https://openreview.net/forum?id=Hf17y6u9BC</w:t>
        </w:r>
      </w:hyperlink>
      <w:r>
        <w:t xml:space="preserve">.</w:t>
      </w:r>
    </w:p>
    <w:bookmarkEnd w:id="125"/>
    <w:bookmarkStart w:id="127"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126">
        <w:r>
          <w:rPr>
            <w:rStyle w:val="Hyperlink"/>
          </w:rPr>
          <w:t xml:space="preserve">https://doi.org/10.48550/arXiv.2608.04404</w:t>
        </w:r>
      </w:hyperlink>
      <w:r>
        <w:t xml:space="preserve">.</w:t>
      </w:r>
    </w:p>
    <w:bookmarkEnd w:id="127"/>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ng"/><Relationship Id="rId69" Type="http://schemas.openxmlformats.org/officeDocument/2006/relationships/image" Target="media/rId69.png"/><Relationship Id="rId75" Type="http://schemas.openxmlformats.org/officeDocument/2006/relationships/image" Target="media/rId75.png"/><Relationship Id="rId27" Type="http://schemas.openxmlformats.org/officeDocument/2006/relationships/image" Target="media/rId27.png"/><Relationship Id="rId33" Type="http://schemas.openxmlformats.org/officeDocument/2006/relationships/image" Target="media/rId33.png"/><Relationship Id="rId43" Type="http://schemas.openxmlformats.org/officeDocument/2006/relationships/image" Target="media/rId43.png"/><Relationship Id="rId49" Type="http://schemas.openxmlformats.org/officeDocument/2006/relationships/image" Target="media/rId49.png"/><Relationship Id="rId9" Type="http://schemas.openxmlformats.org/officeDocument/2006/relationships/image" Target="media/rId9.png"/><Relationship Id="rId84" Type="http://schemas.openxmlformats.org/officeDocument/2006/relationships/hyperlink" Target="https://arxiv.org/abs/1812.00568" TargetMode="External"/><Relationship Id="rId86" Type="http://schemas.openxmlformats.org/officeDocument/2006/relationships/hyperlink" Target="https://doi.org/10.1111/j.1467-9868.2007.00593.x" TargetMode="External"/><Relationship Id="rId96" Type="http://schemas.openxmlformats.org/officeDocument/2006/relationships/hyperlink" Target="https://doi.org/10.1177/1948550617697177" TargetMode="External"/><Relationship Id="rId104" Type="http://schemas.openxmlformats.org/officeDocument/2006/relationships/hyperlink" Target="https://doi.org/10.15607/RSS.2024.XX.050" TargetMode="External"/><Relationship Id="rId116" Type="http://schemas.openxmlformats.org/officeDocument/2006/relationships/hyperlink" Target="https://doi.org/10.15607/RSS.2026.XXII.096" TargetMode="External"/><Relationship Id="rId88" Type="http://schemas.openxmlformats.org/officeDocument/2006/relationships/hyperlink" Target="https://doi.org/10.48550/arXiv.2304.05969" TargetMode="External"/><Relationship Id="rId98" Type="http://schemas.openxmlformats.org/officeDocument/2006/relationships/hyperlink" Target="https://doi.org/10.48550/arXiv.2503.00200" TargetMode="External"/><Relationship Id="rId118" Type="http://schemas.openxmlformats.org/officeDocument/2006/relationships/hyperlink" Target="https://doi.org/10.48550/arXiv.2602.15922" TargetMode="External"/><Relationship Id="rId120" Type="http://schemas.openxmlformats.org/officeDocument/2006/relationships/hyperlink" Target="https://doi.org/10.48550/arXiv.2603.16666" TargetMode="External"/><Relationship Id="rId106" Type="http://schemas.openxmlformats.org/officeDocument/2006/relationships/hyperlink" Target="https://doi.org/10.48550/arXiv.2606.02800" TargetMode="External"/><Relationship Id="rId110" Type="http://schemas.openxmlformats.org/officeDocument/2006/relationships/hyperlink" Target="https://doi.org/10.48550/arXiv.2606.12217" TargetMode="External"/><Relationship Id="rId112" Type="http://schemas.openxmlformats.org/officeDocument/2006/relationships/hyperlink" Target="https://doi.org/10.48550/arXiv.2606.27510" TargetMode="External"/><Relationship Id="rId126" Type="http://schemas.openxmlformats.org/officeDocument/2006/relationships/hyperlink" Target="https://doi.org/10.48550/arXiv.2608.04404" TargetMode="External"/><Relationship Id="rId122" Type="http://schemas.openxmlformats.org/officeDocument/2006/relationships/hyperlink" Target="https://doi.org/10.48550/arXiv.2608.11521" TargetMode="External"/><Relationship Id="rId102" Type="http://schemas.openxmlformats.org/officeDocument/2006/relationships/hyperlink" Target="https://doi.org/10.52202/068431-1262" TargetMode="External"/><Relationship Id="rId100" Type="http://schemas.openxmlformats.org/officeDocument/2006/relationships/hyperlink" Target="https://doi.org/10.52202/075280-1939" TargetMode="External"/><Relationship Id="rId90" Type="http://schemas.openxmlformats.org/officeDocument/2006/relationships/hyperlink" Target="https://doi.org/10.52202/079017-3570" TargetMode="External"/><Relationship Id="rId108" Type="http://schemas.openxmlformats.org/officeDocument/2006/relationships/hyperlink" Target="https://huggingface.co/nvidia/Cosmos3-Nano-Policy-DROID" TargetMode="External"/><Relationship Id="rId82" Type="http://schemas.openxmlformats.org/officeDocument/2006/relationships/hyperlink" Target="https://openreview.net/forum?id=9pKtcJcMP3" TargetMode="External"/><Relationship Id="rId124" Type="http://schemas.openxmlformats.org/officeDocument/2006/relationships/hyperlink" Target="https://openreview.net/forum?id=Hf17y6u9BC" TargetMode="External"/><Relationship Id="rId94" Type="http://schemas.openxmlformats.org/officeDocument/2006/relationships/hyperlink" Target="https://openreview.net/forum?id=wPEIStHxYH" TargetMode="External"/><Relationship Id="rId92" Type="http://schemas.openxmlformats.org/officeDocument/2006/relationships/hyperlink" Target="https://proceedings.mlr.press/v267/hu25g.html" TargetMode="External"/><Relationship Id="rId114" Type="http://schemas.openxmlformats.org/officeDocument/2006/relationships/hyperlink" Target="https://proceedings.neurips.cc/paper/2020/hash/92650b2e92217715fe312e6fa7b90d82-Abstract.html" TargetMode="External"/><Relationship Id="rId80"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arxiv.org/abs/1812.00568" TargetMode="External"/><Relationship Id="rId86" Type="http://schemas.openxmlformats.org/officeDocument/2006/relationships/hyperlink" Target="https://doi.org/10.1111/j.1467-9868.2007.00593.x" TargetMode="External"/><Relationship Id="rId96" Type="http://schemas.openxmlformats.org/officeDocument/2006/relationships/hyperlink" Target="https://doi.org/10.1177/1948550617697177" TargetMode="External"/><Relationship Id="rId104" Type="http://schemas.openxmlformats.org/officeDocument/2006/relationships/hyperlink" Target="https://doi.org/10.15607/RSS.2024.XX.050" TargetMode="External"/><Relationship Id="rId116" Type="http://schemas.openxmlformats.org/officeDocument/2006/relationships/hyperlink" Target="https://doi.org/10.15607/RSS.2026.XXII.096" TargetMode="External"/><Relationship Id="rId88" Type="http://schemas.openxmlformats.org/officeDocument/2006/relationships/hyperlink" Target="https://doi.org/10.48550/arXiv.2304.05969" TargetMode="External"/><Relationship Id="rId98" Type="http://schemas.openxmlformats.org/officeDocument/2006/relationships/hyperlink" Target="https://doi.org/10.48550/arXiv.2503.00200" TargetMode="External"/><Relationship Id="rId118" Type="http://schemas.openxmlformats.org/officeDocument/2006/relationships/hyperlink" Target="https://doi.org/10.48550/arXiv.2602.15922" TargetMode="External"/><Relationship Id="rId120" Type="http://schemas.openxmlformats.org/officeDocument/2006/relationships/hyperlink" Target="https://doi.org/10.48550/arXiv.2603.16666" TargetMode="External"/><Relationship Id="rId106" Type="http://schemas.openxmlformats.org/officeDocument/2006/relationships/hyperlink" Target="https://doi.org/10.48550/arXiv.2606.02800" TargetMode="External"/><Relationship Id="rId110" Type="http://schemas.openxmlformats.org/officeDocument/2006/relationships/hyperlink" Target="https://doi.org/10.48550/arXiv.2606.12217" TargetMode="External"/><Relationship Id="rId112" Type="http://schemas.openxmlformats.org/officeDocument/2006/relationships/hyperlink" Target="https://doi.org/10.48550/arXiv.2606.27510" TargetMode="External"/><Relationship Id="rId126" Type="http://schemas.openxmlformats.org/officeDocument/2006/relationships/hyperlink" Target="https://doi.org/10.48550/arXiv.2608.04404" TargetMode="External"/><Relationship Id="rId122" Type="http://schemas.openxmlformats.org/officeDocument/2006/relationships/hyperlink" Target="https://doi.org/10.48550/arXiv.2608.11521" TargetMode="External"/><Relationship Id="rId102" Type="http://schemas.openxmlformats.org/officeDocument/2006/relationships/hyperlink" Target="https://doi.org/10.52202/068431-1262" TargetMode="External"/><Relationship Id="rId100" Type="http://schemas.openxmlformats.org/officeDocument/2006/relationships/hyperlink" Target="https://doi.org/10.52202/075280-1939" TargetMode="External"/><Relationship Id="rId90" Type="http://schemas.openxmlformats.org/officeDocument/2006/relationships/hyperlink" Target="https://doi.org/10.52202/079017-3570" TargetMode="External"/><Relationship Id="rId108" Type="http://schemas.openxmlformats.org/officeDocument/2006/relationships/hyperlink" Target="https://huggingface.co/nvidia/Cosmos3-Nano-Policy-DROID" TargetMode="External"/><Relationship Id="rId82" Type="http://schemas.openxmlformats.org/officeDocument/2006/relationships/hyperlink" Target="https://openreview.net/forum?id=9pKtcJcMP3" TargetMode="External"/><Relationship Id="rId124" Type="http://schemas.openxmlformats.org/officeDocument/2006/relationships/hyperlink" Target="https://openreview.net/forum?id=Hf17y6u9BC" TargetMode="External"/><Relationship Id="rId94" Type="http://schemas.openxmlformats.org/officeDocument/2006/relationships/hyperlink" Target="https://openreview.net/forum?id=wPEIStHxYH" TargetMode="External"/><Relationship Id="rId92" Type="http://schemas.openxmlformats.org/officeDocument/2006/relationships/hyperlink" Target="https://proceedings.mlr.press/v267/hu25g.html" TargetMode="External"/><Relationship Id="rId114" Type="http://schemas.openxmlformats.org/officeDocument/2006/relationships/hyperlink" Target="https://proceedings.neurips.cc/paper/2020/hash/92650b2e92217715fe312e6fa7b90d82-Abstract.html" TargetMode="External"/><Relationship Id="rId80"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2026-09-02T11:59:27Z</dcterms:created>
  <dcterms:modified xsi:type="dcterms:W3CDTF">2026-09-02T11:59:27Z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World action models generate future observations alongside robot actions, but the causal role of these generated futures remains unclear: they may guide action selection or merely accompany actions computed through another route. Prior work finds that corrupting future features degrades performance, but destructive perturbations cannot establish whether coherent future content directionally controls behavior rather than causing generic distribution shift. We investigate this problem through three questions. First, do coherent alternative futures directionally steer actions and their resulting simulator endpoints? Second, what information within those futures is sufficient to produce this effect? Third, through which internal pathway does future information influence action? We introduce reachable-donor future transplantation, which exchanges policy-generated futures between two continuations from the same restored state while holding the recipient’s observation, instruction, and random draws fixed. Unlike destructive ablations, this intervention predicts a specific direction in which behavior should change. Donor futures nearly completely redirect Cosmos 3 actions and endpoints toward the donor continuation across 22 states and six RoboLab tasks; Cosmos Policy shows related early-state steering across all ten LIBERO-Long tasks. Cosmos Policy responds primarily to camera-visible robot motion, whereas neither robot-only nor object-only pixels are sufficient to reproduce Cosmos 3’s whole-future effect. Finally, replacing donor-future attention keys and values with self-future counterparts removes 83–88% of Cosmos 3 steering in every tested state. Together, these results establish content-specific future conditioning in both policies while revealing different mechanistic signatures: camera-visible robot motion is the leading account for Cosmos Policy, whereas Cosmos 3 requires more than either isolated robot or object pixels and transmits most donor-specific influence through future-token attention keys and values.</vt:lpwstr>
  </property>
  <property fmtid="{D5CDD505-2E9C-101B-9397-08002B2CF9AE}" pid="3" name="bibliography">
    <vt:lpwstr>references.bib</vt:lpwstr>
  </property>
</Properties>
</file>