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257800" cy="169545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257800" cy="1695450"/>
                    </a:xfrm>
                    <a:prstGeom prst="rect">
                      <a:avLst/>
                    </a:prstGeom>
                    <a:noFill/>
                    <a:ln w="9525">
                      <a:noFill/>
                      <a:headEnd/>
                      <a:tailEnd/>
                    </a:ln>
                  </pic:spPr>
                </pic:pic>
              </a:graphicData>
            </a:graphic>
          </wp:inline>
        </w:drawing>
      </w:r>
    </w:p>
    <w:p>
      <w:pPr>
        <w:pStyle w:val="ImageCaption"/>
      </w:pPr>
      <w:r>
        <w:t xml:space="preserve">Reachable-donor future transplantation. Two unmodified continuations start from the same simulator state. The recipient is recomputed with only the donor future substituted; the donor action is withheld and used afterward for scoring. Signed projection is 0 at the recipient, 1 at the donor, and 0.5 halfway along the donor direction. K/V replacement then tests whether future-token activations carry that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2" w:name="sec:results"/>
    <w:p>
      <w:pPr>
        <w:pStyle w:val="Heading1"/>
      </w:pPr>
      <w:r>
        <w:t xml:space="preserve">Results</w:t>
      </w:r>
    </w:p>
    <w:bookmarkStart w:id="31" w:name="sec:steering"/>
    <w:p>
      <w:pPr>
        <w:pStyle w:val="Heading2"/>
      </w:pPr>
      <w:r>
        <w:t xml:space="preserve">Do coherent futures steer behavior?</w:t>
      </w:r>
    </w:p>
    <w:p>
      <w:pPr>
        <w:pStyle w:val="FirstParagraph"/>
      </w:pPr>
      <w:r>
        <w:t xml:space="preserve">Coherent donor futures move both the recipient’s action and its one-chunk simulator endpoint toward the donor. Cosmos 3 shows this throughout its frozen population; Cosmos Policy’s effect is concentrated at the first queried states.</w:t>
      </w:r>
    </w:p>
    <w:bookmarkStart w:id="25" w:name="cosmos-3.-1"/>
    <w:p>
      <w:pPr>
        <w:pStyle w:val="Heading4"/>
      </w:pPr>
      <w:r>
        <w:t xml:space="preserve">Cosmos 3.</w:t>
      </w:r>
    </w:p>
    <w:p>
      <w:pPr>
        <w:pStyle w:val="FirstParagraph"/>
      </w:pPr>
      <w:r>
        <w:t xml:space="preserve">Across 22 completed states and all six tasks, predicted-future action steering is</w:t>
      </w:r>
      <w:r>
        <w:t xml:space="preserve"> </w:t>
      </w:r>
      <m:oMath>
        <m:r>
          <m:t>0.992</m:t>
        </m:r>
      </m:oMath>
      <w:r>
        <w:t xml:space="preserve"> </w:t>
      </w:r>
      <w:r>
        <w:t xml:space="preserve">(95% state-bootstrap CI</w:t>
      </w:r>
      <w:r>
        <w:t xml:space="preserve"> </w:t>
      </w:r>
      <m:oMath>
        <m:r>
          <m:rPr>
            <m:sty m:val="p"/>
          </m:rPr>
          <m:t>[</m:t>
        </m:r>
        <m:r>
          <m:t>0.972</m:t>
        </m:r>
        <m:r>
          <m:rPr>
            <m:sty m:val="p"/>
          </m:rPr>
          <m:t>,</m:t>
        </m:r>
        <m:r>
          <m:t>1.010</m:t>
        </m:r>
        <m:r>
          <m:rPr>
            <m:sty m:val="p"/>
          </m:rPr>
          <m:t>]</m:t>
        </m:r>
      </m:oMath>
      <w:r>
        <w:t xml:space="preserve">), positive in 22/22 states. On the signed projection scale, the mean action therefore moves almost the full recipient-to-donor distance in the donor direction. Relative to the prespecified natural-future control, the effect is</w:t>
      </w:r>
      <w:r>
        <w:t xml:space="preserve"> </w:t>
      </w:r>
      <m:oMath>
        <m:r>
          <m:t>0.433</m:t>
        </m:r>
      </m:oMath>
      <w:r>
        <w:t xml:space="preserve"> </w:t>
      </w:r>
      <w:r>
        <w:t xml:space="preserve">(</w:t>
      </w:r>
      <m:oMath>
        <m:r>
          <m:rPr>
            <m:sty m:val="p"/>
          </m:rPr>
          <m:t>[</m:t>
        </m:r>
        <m:r>
          <m:t>0.332</m:t>
        </m:r>
        <m:r>
          <m:rPr>
            <m:sty m:val="p"/>
          </m:rPr>
          <m:t>,</m:t>
        </m:r>
        <m:r>
          <m:t>0.538</m:t>
        </m:r>
        <m:r>
          <m:rPr>
            <m:sty m:val="p"/>
          </m:rPr>
          <m:t>]</m:t>
        </m:r>
      </m:oMath>
      <w:r>
        <w:t xml:space="preserve">) larger, showing that the paired donor carries more direction-specific information than that non-donor continuation. Futures encoded from executed donor branches produce nearly the same result: action steering is</w:t>
      </w:r>
      <w:r>
        <w:t xml:space="preserve"> </w:t>
      </w:r>
      <m:oMath>
        <m:r>
          <m:t>0.983</m:t>
        </m:r>
      </m:oMath>
      <w:r>
        <w:t xml:space="preserve"> </w:t>
      </w:r>
      <w:r>
        <w:t xml:space="preserve">(</w:t>
      </w:r>
      <m:oMath>
        <m:r>
          <m:rPr>
            <m:sty m:val="p"/>
          </m:rPr>
          <m:t>[</m:t>
        </m:r>
        <m:r>
          <m:t>0.890</m:t>
        </m:r>
        <m:r>
          <m:rPr>
            <m:sty m:val="p"/>
          </m:rPr>
          <m:t>,</m:t>
        </m:r>
        <m:r>
          <m:t>1.064</m:t>
        </m:r>
        <m:r>
          <m:rPr>
            <m:sty m:val="p"/>
          </m:rPr>
          <m:t>]</m:t>
        </m:r>
      </m:oMath>
      <w:r>
        <w:t xml:space="preserve">), and executing the recomputed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Both are positive in all 22 states. The endpoint result shows that donor-directed action differences survive simulator execution; because projection ignores orthogonal error, it does not imply that the full endpoint vectors coincide. Executed-future action steering also exceeds the geometry-matched Gaussian control by</w:t>
      </w:r>
      <w:r>
        <w:t xml:space="preserve"> </w:t>
      </w:r>
      <m:oMath>
        <m:r>
          <m:t>0.941</m:t>
        </m:r>
      </m:oMath>
      <w:r>
        <w:t xml:space="preserve"> </w:t>
      </w:r>
      <w:r>
        <w:t xml:space="preserve">(</w:t>
      </w:r>
      <m:oMath>
        <m:r>
          <m:rPr>
            <m:sty m:val="p"/>
          </m:rPr>
          <m:t>[</m:t>
        </m:r>
        <m:r>
          <m:t>0.837</m:t>
        </m:r>
        <m:r>
          <m:rPr>
            <m:sty m:val="p"/>
          </m:rPr>
          <m:t>,</m:t>
        </m:r>
        <m:r>
          <m:t>1.032</m:t>
        </m:r>
        <m:r>
          <m:rPr>
            <m:sty m:val="p"/>
          </m:rPr>
          <m:t>]</m:t>
        </m:r>
      </m:oMath>
      <w:r>
        <w:t xml:space="preserve">) and the natural control by</w:t>
      </w:r>
      <w:r>
        <w:t xml:space="preserve"> </w:t>
      </w:r>
      <m:oMath>
        <m:r>
          <m:t>0.391</m:t>
        </m:r>
      </m:oMath>
      <w:r>
        <w:t xml:space="preserve"> </w:t>
      </w:r>
      <w:r>
        <w:t xml:space="preserve">(</w:t>
      </w:r>
      <m:oMath>
        <m:r>
          <m:rPr>
            <m:sty m:val="p"/>
          </m:rPr>
          <m:t>[</m:t>
        </m:r>
        <m:r>
          <m:t>0.246</m:t>
        </m:r>
        <m:r>
          <m:rPr>
            <m:sty m:val="p"/>
          </m:rPr>
          <m:t>,</m:t>
        </m:r>
        <m:r>
          <m:t>0.533</m:t>
        </m:r>
        <m:r>
          <m:rPr>
            <m:sty m:val="p"/>
          </m:rPr>
          <m:t>]</m:t>
        </m:r>
      </m:oMath>
      <w:r>
        <w:t xml:space="preserve">). Task-balanced analyses preserve these conclusions. A separate four-task engineering study identifies the correct donor in 12/12 cases for both future sources.</w:t>
      </w:r>
    </w:p>
    <w:bookmarkEnd w:id="25"/>
    <w:bookmarkStart w:id="30" w:name="cosmos-policy.-1"/>
    <w:p>
      <w:pPr>
        <w:pStyle w:val="Heading4"/>
      </w:pPr>
      <w:r>
        <w:t xml:space="preserve">Cosmos Policy.</w:t>
      </w:r>
    </w:p>
    <w:p>
      <w:pPr>
        <w:pStyle w:val="FirstParagraph"/>
      </w:pPr>
      <w:r>
        <w:t xml:space="preserve">At the first query, donor-minus-self action steering is</w:t>
      </w:r>
      <w:r>
        <w:t xml:space="preserve"> </w:t>
      </w:r>
      <m:oMath>
        <m:r>
          <m:t>0.499</m:t>
        </m:r>
      </m:oMath>
      <w:r>
        <w:t xml:space="preserve"> </w:t>
      </w:r>
      <w:r>
        <w:t xml:space="preserve">(</w:t>
      </w:r>
      <m:oMath>
        <m:r>
          <m:rPr>
            <m:sty m:val="p"/>
          </m:rPr>
          <m:t>[</m:t>
        </m:r>
        <m:r>
          <m:t>0.336</m:t>
        </m:r>
        <m:r>
          <m:rPr>
            <m:sty m:val="p"/>
          </m:rPr>
          <m:t>,</m:t>
        </m:r>
        <m:r>
          <m:t>0.679</m:t>
        </m:r>
        <m:r>
          <m:rPr>
            <m:sty m:val="p"/>
          </m:rPr>
          <m:t>]</m:t>
        </m:r>
      </m:oMath>
      <w:r>
        <w:t xml:space="preserve">), positive in all ten tasks. The executed endpoint shifts by</w:t>
      </w:r>
      <w:r>
        <w:t xml:space="preserve"> </w:t>
      </w:r>
      <m:oMath>
        <m:r>
          <m:t>0.552</m:t>
        </m:r>
      </m:oMath>
      <w:r>
        <w:t xml:space="preserve"> </w:t>
      </w:r>
      <w:r>
        <w:t xml:space="preserve">(</w:t>
      </w:r>
      <m:oMath>
        <m:r>
          <m:rPr>
            <m:sty m:val="p"/>
          </m:rPr>
          <m:t>[</m:t>
        </m:r>
        <m:r>
          <m:t>0.387</m:t>
        </m:r>
        <m:r>
          <m:rPr>
            <m:sty m:val="p"/>
          </m:rPr>
          <m:t>,</m:t>
        </m:r>
        <m:r>
          <m:t>0.728</m:t>
        </m:r>
        <m:r>
          <m:rPr>
            <m:sty m:val="p"/>
          </m:rPr>
          <m:t>]</m:t>
        </m:r>
      </m:oMath>
      <w:r>
        <w:t xml:space="preserve">), also positive in all ten. Action steering remains positive relative to Gaussian (</w:t>
      </w:r>
      <m:oMath>
        <m:r>
          <m:t>0.497</m:t>
        </m:r>
      </m:oMath>
      <w:r>
        <w:t xml:space="preserve">), natural (</w:t>
      </w:r>
      <m:oMath>
        <m:r>
          <m:t>0.103</m:t>
        </m:r>
      </m:oMath>
      <w:r>
        <w:t xml:space="preserve">), and shuffled-future (</w:t>
      </w:r>
      <m:oMath>
        <m:r>
          <m:t>0.255</m:t>
        </m:r>
      </m:oMath>
      <w:r>
        <w:t xml:space="preserve">) controls; the corresponding endpoint contrasts are</w:t>
      </w:r>
      <w:r>
        <w:t xml:space="preserve"> </w:t>
      </w:r>
      <m:oMath>
        <m:r>
          <m:t>0.549</m:t>
        </m:r>
      </m:oMath>
      <w:r>
        <w:t xml:space="preserve">,</w:t>
      </w:r>
      <w:r>
        <w:t xml:space="preserve"> </w:t>
      </w:r>
      <m:oMath>
        <m:r>
          <m:t>0.110</m:t>
        </m:r>
      </m:oMath>
      <w:r>
        <w:t xml:space="preserve">, and</w:t>
      </w:r>
      <w:r>
        <w:t xml:space="preserve"> </w:t>
      </w:r>
      <m:oMath>
        <m:r>
          <m:t>0.277</m:t>
        </m:r>
      </m:oMath>
      <w:r>
        <w:t xml:space="preserve">. Secondary control intervals were not available. The later sampled states show much smaller effects: after three chunks, action and endpoint steering are</w:t>
      </w:r>
      <w:r>
        <w:t xml:space="preserve"> </w:t>
      </w:r>
      <m:oMath>
        <m:r>
          <m:t>0.031</m:t>
        </m:r>
      </m:oMath>
      <w:r>
        <w:t xml:space="preserve"> </w:t>
      </w:r>
      <w:r>
        <w:t xml:space="preserve">and</w:t>
      </w:r>
      <w:r>
        <w:t xml:space="preserve"> </w:t>
      </w:r>
      <m:oMath>
        <m:r>
          <m:t>0.004</m:t>
        </m:r>
      </m:oMath>
      <w:r>
        <w:t xml:space="preserve">; after six, they are</w:t>
      </w:r>
      <w:r>
        <w:t xml:space="preserve"> </w:t>
      </w:r>
      <m:oMath>
        <m:r>
          <m:t>0.027</m:t>
        </m:r>
      </m:oMath>
      <w:r>
        <w:t xml:space="preserve"> </w:t>
      </w:r>
      <w:r>
        <w:t xml:space="preserve">and</w:t>
      </w:r>
      <w:r>
        <w:t xml:space="preserve"> </w:t>
      </w:r>
      <m:oMath>
        <m:r>
          <m:t>0.025</m:t>
        </m:r>
      </m:oMath>
      <w:r>
        <w:t xml:space="preserve"> </w:t>
      </w:r>
      <w:r>
        <w:t xml:space="preserve">(Figure </w:t>
      </w:r>
      <w:hyperlink w:anchor="fig:policy">
        <w:r>
          <w:rPr>
            <w:rStyle w:val="Hyperlink"/>
          </w:rPr>
          <w:t xml:space="preserve">2</w:t>
        </w:r>
      </w:hyperlink>
      <w:r>
        <w:t xml:space="preserve">). Because each time point uses a different state, this pattern is an association with state and timing, not a causal estimate of temporal decay.</w:t>
      </w:r>
    </w:p>
    <w:bookmarkStart w:id="29" w:name="fig:policy"/>
    <w:p>
      <w:pPr>
        <w:pStyle w:val="CaptionedFigure"/>
      </w:pPr>
      <w:r>
        <w:drawing>
          <wp:inline>
            <wp:extent cx="5334000" cy="1624818"/>
            <wp:effectExtent b="0" l="0" r="0" t="0"/>
            <wp:docPr descr="" title="" id="27" name="Picture"/>
            <a:graphic>
              <a:graphicData uri="http://schemas.openxmlformats.org/drawingml/2006/picture">
                <pic:pic>
                  <pic:nvPicPr>
                    <pic:cNvPr descr="figures/directionality_results.png" id="28" name="Picture"/>
                    <pic:cNvPicPr>
                      <a:picLocks noChangeArrowheads="1" noChangeAspect="1"/>
                    </pic:cNvPicPr>
                  </pic:nvPicPr>
                  <pic:blipFill>
                    <a:blip r:embed="rId26"/>
                    <a:stretch>
                      <a:fillRect/>
                    </a:stretch>
                  </pic:blipFill>
                  <pic:spPr bwMode="auto">
                    <a:xfrm>
                      <a:off x="0" y="0"/>
                      <a:ext cx="5334000" cy="1624818"/>
                    </a:xfrm>
                    <a:prstGeom prst="rect">
                      <a:avLst/>
                    </a:prstGeom>
                    <a:noFill/>
                    <a:ln w="9525">
                      <a:noFill/>
                      <a:headEnd/>
                      <a:tailEnd/>
                    </a:ln>
                  </pic:spPr>
                </pic:pic>
              </a:graphicData>
            </a:graphic>
          </wp:inline>
        </w:drawing>
      </w:r>
    </w:p>
    <w:p>
      <w:pPr>
        <w:pStyle w:val="ImageCaption"/>
      </w:pPr>
      <w:r>
        <w:t xml:space="preserve">Cosmos Policy results. (a) Donor-minus-self action and endpoint steering is large at first-query states and small at later registered states. (b) At first-query states, visual futures carry the action effect, whereas future proprioception does not. Points are state means; bars are 95% state-bootstrap intervals where reported. The dashed line is the prespecified</w:t>
      </w:r>
      <w:r>
        <w:t xml:space="preserve"> </w:t>
      </w:r>
      <m:oMath>
        <m:r>
          <m:t>0.10</m:t>
        </m:r>
      </m:oMath>
      <w:r>
        <w:t xml:space="preserve"> </w:t>
      </w:r>
      <w:r>
        <w:t xml:space="preserve">threshold.</w:t>
      </w:r>
    </w:p>
    <w:bookmarkEnd w:id="29"/>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0"/>
    <w:bookmarkEnd w:id="31"/>
    <w:bookmarkStart w:id="34"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2"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2"/>
    <w:bookmarkStart w:id="33" w:name="cosmos-3.-2"/>
    <w:p>
      <w:pPr>
        <w:pStyle w:val="Heading4"/>
      </w:pPr>
      <w:r>
        <w:t xml:space="preserve">Cosmos 3.</w:t>
      </w:r>
    </w:p>
    <w:p>
      <w:pPr>
        <w:pStyle w:val="FirstParagraph"/>
      </w:pPr>
      <w:r>
        <w:t xml:space="preserve">Across ten factor-study states and all six tasks, the isolated robot-pixel effect is</w:t>
      </w:r>
      <w:r>
        <w:t xml:space="preserve"> </w:t>
      </w:r>
      <m:oMath>
        <m:r>
          <m:t>0.0022</m:t>
        </m:r>
      </m:oMath>
      <w:r>
        <w:t xml:space="preserve"> </w:t>
      </w:r>
      <w:r>
        <w:t xml:space="preserve">(</w:t>
      </w:r>
      <m:oMath>
        <m:r>
          <m:rPr>
            <m:sty m:val="p"/>
          </m:rPr>
          <m:t>[</m:t>
        </m:r>
        <m:r>
          <m:rPr>
            <m:sty m:val="p"/>
          </m:rPr>
          <m:t>−</m:t>
        </m:r>
        <m:r>
          <m:t>0.0016</m:t>
        </m:r>
        <m:r>
          <m:rPr>
            <m:sty m:val="p"/>
          </m:rPr>
          <m:t>,</m:t>
        </m:r>
        <m:r>
          <m:t>0.0060</m:t>
        </m:r>
        <m:r>
          <m:rPr>
            <m:sty m:val="p"/>
          </m:rPr>
          <m:t>]</m:t>
        </m:r>
      </m:oMath>
      <w:r>
        <w:t xml:space="preserve">) for action and</w:t>
      </w:r>
      <w:r>
        <w:t xml:space="preserve"> </w:t>
      </w:r>
      <m:oMath>
        <m:r>
          <m:t>0.0102</m:t>
        </m:r>
      </m:oMath>
      <w:r>
        <w:t xml:space="preserve"> </w:t>
      </w:r>
      <w:r>
        <w:t xml:space="preserve">(</w:t>
      </w:r>
      <m:oMath>
        <m:r>
          <m:rPr>
            <m:sty m:val="p"/>
          </m:rPr>
          <m:t>[</m:t>
        </m:r>
        <m:r>
          <m:rPr>
            <m:sty m:val="p"/>
          </m:rPr>
          <m:t>−</m:t>
        </m:r>
        <m:r>
          <m:t>0.0067</m:t>
        </m:r>
        <m:r>
          <m:rPr>
            <m:sty m:val="p"/>
          </m:rPr>
          <m:t>,</m:t>
        </m:r>
        <m:r>
          <m:t>0.0275</m:t>
        </m:r>
        <m:r>
          <m:rPr>
            <m:sty m:val="p"/>
          </m:rPr>
          <m:t>]</m:t>
        </m:r>
      </m:oMath>
      <w:r>
        <w:t xml:space="preserve">) for the full executed endpoint. The isolated object-pixel effect is</w:t>
      </w:r>
      <w:r>
        <w:t xml:space="preserve"> </w:t>
      </w:r>
      <m:oMath>
        <m:r>
          <m:t>0.0061</m:t>
        </m:r>
      </m:oMath>
      <w:r>
        <w:t xml:space="preserve"> </w:t>
      </w:r>
      <w:r>
        <w:t xml:space="preserve">(</w:t>
      </w:r>
      <m:oMath>
        <m:r>
          <m:rPr>
            <m:sty m:val="p"/>
          </m:rPr>
          <m:t>[</m:t>
        </m:r>
        <m:r>
          <m:t>0.0009</m:t>
        </m:r>
        <m:r>
          <m:rPr>
            <m:sty m:val="p"/>
          </m:rPr>
          <m:t>,</m:t>
        </m:r>
        <m:r>
          <m:t>0.0119</m:t>
        </m:r>
        <m:r>
          <m:rPr>
            <m:sty m:val="p"/>
          </m:rPr>
          <m:t>]</m:t>
        </m:r>
      </m:oMath>
      <w:r>
        <w:t xml:space="preserve">) for action and</w:t>
      </w:r>
      <w:r>
        <w:t xml:space="preserve"> </w:t>
      </w:r>
      <m:oMath>
        <m:r>
          <m:rPr>
            <m:sty m:val="p"/>
          </m:rPr>
          <m:t>−</m:t>
        </m:r>
        <m:r>
          <m:t>0.0001</m:t>
        </m:r>
      </m:oMath>
      <w:r>
        <w:t xml:space="preserve"> </w:t>
      </w:r>
      <w:r>
        <w:t xml:space="preserve">(</w:t>
      </w:r>
      <m:oMath>
        <m:r>
          <m:rPr>
            <m:sty m:val="p"/>
          </m:rPr>
          <m:t>[</m:t>
        </m:r>
        <m:r>
          <m:rPr>
            <m:sty m:val="p"/>
          </m:rPr>
          <m:t>−</m:t>
        </m:r>
        <m:r>
          <m:t>0.0254</m:t>
        </m:r>
        <m:r>
          <m:rPr>
            <m:sty m:val="p"/>
          </m:rPr>
          <m:t>,</m:t>
        </m:r>
        <m:r>
          <m:t>0.0239</m:t>
        </m:r>
        <m:r>
          <m:rPr>
            <m:sty m:val="p"/>
          </m:rPr>
          <m:t>]</m:t>
        </m:r>
      </m:oMath>
      <w:r>
        <w:t xml:space="preserve">) for the endpoint. Every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region, and task-balanced estimates agree. Neither factor alone recreates a meaningful fraction of coherent steering (Figure </w:t>
      </w:r>
      <w:hyperlink w:anchor="fig:cosmos3">
        <w:r>
          <w:rPr>
            <w:rStyle w:val="Hyperlink"/>
          </w:rPr>
          <w:t xml:space="preserve">3</w:t>
        </w:r>
      </w:hyperlink>
      <w:r>
        <w:t xml:space="preserve">c).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End w:id="33"/>
    <w:bookmarkEnd w:id="34"/>
    <w:bookmarkStart w:id="41"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5"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5"/>
    <w:bookmarkStart w:id="40"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reduces predicted-future action projection by</w:t>
      </w:r>
      <w:r>
        <w:t xml:space="preserve"> </w:t>
      </w:r>
      <m:oMath>
        <m:r>
          <m:t>0.877</m:t>
        </m:r>
      </m:oMath>
      <w:r>
        <w:t xml:space="preserve"> </w:t>
      </w:r>
      <w:r>
        <w:t xml:space="preserve">(</w:t>
      </w:r>
      <m:oMath>
        <m:r>
          <m:rPr>
            <m:sty m:val="p"/>
          </m:rPr>
          <m:t>[</m:t>
        </m:r>
        <m:r>
          <m:t>0.842</m:t>
        </m:r>
        <m:r>
          <m:rPr>
            <m:sty m:val="p"/>
          </m:rPr>
          <m:t>,</m:t>
        </m:r>
        <m:r>
          <m:t>0.910</m:t>
        </m:r>
        <m:r>
          <m:rPr>
            <m:sty m:val="p"/>
          </m:rPr>
          <m:t>]</m:t>
        </m:r>
      </m:oMath>
      <w:r>
        <w:t xml:space="preserve">), with a positive reduction in 22/22 states. For executed futures, the action reduction is</w:t>
      </w:r>
      <w:r>
        <w:t xml:space="preserve"> </w:t>
      </w:r>
      <m:oMath>
        <m:r>
          <m:t>0.814</m:t>
        </m:r>
      </m:oMath>
      <w:r>
        <w:t xml:space="preserve"> </w:t>
      </w:r>
      <w:r>
        <w:t xml:space="preserve">(</w:t>
      </w:r>
      <m:oMath>
        <m:r>
          <m:rPr>
            <m:sty m:val="p"/>
          </m:rPr>
          <m:t>[</m:t>
        </m:r>
        <m:r>
          <m:t>0.723</m:t>
        </m:r>
        <m:r>
          <m:rPr>
            <m:sty m:val="p"/>
          </m:rPr>
          <m:t>,</m:t>
        </m:r>
        <m:r>
          <m:t>0.900</m:t>
        </m:r>
        <m:r>
          <m:rPr>
            <m:sty m:val="p"/>
          </m:rPr>
          <m:t>]</m:t>
        </m:r>
      </m:oMath>
      <w:r>
        <w:t xml:space="preserve">) and the executed-endpoint reduction is</w:t>
      </w:r>
      <w:r>
        <w:t xml:space="preserve"> </w:t>
      </w:r>
      <m:oMath>
        <m:r>
          <m:t>0.851</m:t>
        </m:r>
      </m:oMath>
      <w:r>
        <w:t xml:space="preserve"> </w:t>
      </w:r>
      <w:r>
        <w:t xml:space="preserve">(</w:t>
      </w:r>
      <m:oMath>
        <m:r>
          <m:rPr>
            <m:sty m:val="p"/>
          </m:rPr>
          <m:t>[</m:t>
        </m:r>
        <m:r>
          <m:t>0.766</m:t>
        </m:r>
        <m:r>
          <m:rPr>
            <m:sty m:val="p"/>
          </m:rPr>
          <m:t>,</m:t>
        </m:r>
        <m:r>
          <m:t>0.922</m:t>
        </m:r>
        <m:r>
          <m:rPr>
            <m:sty m:val="p"/>
          </m:rPr>
          <m:t>]</m:t>
        </m:r>
      </m:oMath>
      <w:r>
        <w:t xml:space="preserve">), again positive in every state. Relative to the unpatched means, these losses remove 88% of predicted-future action steering, 83% of executed-future action steering, and 85% of endpoint steering.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this intervention keeps token count fixed and does not mask attention positions, it shows that donor-specific information travels through the future-token K/V interface. It does not identify every head or feature, exclude interacting unpatched routes, or establish a complete circuit.</w:t>
      </w:r>
    </w:p>
    <w:bookmarkStart w:id="39" w:name="fig:cosmos3"/>
    <w:p>
      <w:pPr>
        <w:pStyle w:val="CaptionedFigure"/>
      </w:pPr>
      <w:r>
        <w:drawing>
          <wp:inline>
            <wp:extent cx="5334000" cy="1644539"/>
            <wp:effectExtent b="0" l="0" r="0" t="0"/>
            <wp:docPr descr="" title="" id="37" name="Picture"/>
            <a:graphic>
              <a:graphicData uri="http://schemas.openxmlformats.org/drawingml/2006/picture">
                <pic:pic>
                  <pic:nvPicPr>
                    <pic:cNvPr descr="figures/pathway_results.png" id="38" name="Picture"/>
                    <pic:cNvPicPr>
                      <a:picLocks noChangeArrowheads="1" noChangeAspect="1"/>
                    </pic:cNvPicPr>
                  </pic:nvPicPr>
                  <pic:blipFill>
                    <a:blip r:embed="rId36"/>
                    <a:stretch>
                      <a:fillRect/>
                    </a:stretch>
                  </pic:blipFill>
                  <pic:spPr bwMode="auto">
                    <a:xfrm>
                      <a:off x="0" y="0"/>
                      <a:ext cx="5334000" cy="1644539"/>
                    </a:xfrm>
                    <a:prstGeom prst="rect">
                      <a:avLst/>
                    </a:prstGeom>
                    <a:noFill/>
                    <a:ln w="9525">
                      <a:noFill/>
                      <a:headEnd/>
                      <a:tailEnd/>
                    </a:ln>
                  </pic:spPr>
                </pic:pic>
              </a:graphicData>
            </a:graphic>
          </wp:inline>
        </w:drawing>
      </w:r>
    </w:p>
    <w:p>
      <w:pPr>
        <w:pStyle w:val="ImageCaption"/>
      </w:pPr>
      <w:r>
        <w:t xml:space="preserve">Cosmos 3 population results. (a) Coherent predicted and executed futures steer actions, outperform natural controls, and move one-chunk simulator endpoints toward the donor across 22 states and six tasks. (b) Replacing donor-run future-token K/V with self-future K/V removes most donor-directed action and endpoint projection. (c) In ten factor-study states, isolated robot- and object-pixel effects lie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region. Bars are 95% state-bootstrap intervals.</w:t>
      </w:r>
    </w:p>
    <w:bookmarkEnd w:id="39"/>
    <w:bookmarkEnd w:id="40"/>
    <w:bookmarkEnd w:id="41"/>
    <w:bookmarkEnd w:id="42"/>
    <w:bookmarkStart w:id="45"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3"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3"/>
    <w:bookmarkStart w:id="44"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4"/>
    <w:bookmarkEnd w:id="45"/>
    <w:bookmarkStart w:id="46"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6"/>
    <w:bookmarkStart w:id="47"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47"/>
    <w:bookmarkStart w:id="48"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48"/>
    <w:bookmarkStart w:id="101"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49">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49">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0">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1">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0" w:name="refs"/>
    <w:bookmarkStart w:id="53"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2">
        <w:r>
          <w:rPr>
            <w:rStyle w:val="Hyperlink"/>
          </w:rPr>
          <w:t xml:space="preserve">https://proceedings.neurips.cc/paper_files/paper/2023/hash/1d5b9233ad716a43be5c0d3023cb82d0-Abstract.html</w:t>
        </w:r>
      </w:hyperlink>
      <w:r>
        <w:t xml:space="preserve">.</w:t>
      </w:r>
    </w:p>
    <w:bookmarkEnd w:id="53"/>
    <w:bookmarkStart w:id="55"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4">
        <w:r>
          <w:rPr>
            <w:rStyle w:val="Hyperlink"/>
          </w:rPr>
          <w:t xml:space="preserve">https://openreview.net/forum?id=9pKtcJcMP3</w:t>
        </w:r>
      </w:hyperlink>
      <w:r>
        <w:t xml:space="preserve">.</w:t>
      </w:r>
    </w:p>
    <w:bookmarkEnd w:id="55"/>
    <w:bookmarkStart w:id="57"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6">
        <w:r>
          <w:rPr>
            <w:rStyle w:val="Hyperlink"/>
          </w:rPr>
          <w:t xml:space="preserve">https://arxiv.org/abs/1812.00568</w:t>
        </w:r>
      </w:hyperlink>
      <w:r>
        <w:t xml:space="preserve">.</w:t>
      </w:r>
    </w:p>
    <w:bookmarkEnd w:id="57"/>
    <w:bookmarkStart w:id="59"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8">
        <w:r>
          <w:rPr>
            <w:rStyle w:val="Hyperlink"/>
          </w:rPr>
          <w:t xml:space="preserve">https://doi.org/10.1111/j.1467-9868.2007.00593.x</w:t>
        </w:r>
      </w:hyperlink>
      <w:r>
        <w:t xml:space="preserve">.</w:t>
      </w:r>
    </w:p>
    <w:bookmarkEnd w:id="59"/>
    <w:bookmarkStart w:id="61"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0">
        <w:r>
          <w:rPr>
            <w:rStyle w:val="Hyperlink"/>
          </w:rPr>
          <w:t xml:space="preserve">https://doi.org/10.48550/arXiv.2304.05969</w:t>
        </w:r>
      </w:hyperlink>
      <w:r>
        <w:t xml:space="preserve">.</w:t>
      </w:r>
    </w:p>
    <w:bookmarkEnd w:id="61"/>
    <w:bookmarkStart w:id="63"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2">
        <w:r>
          <w:rPr>
            <w:rStyle w:val="Hyperlink"/>
          </w:rPr>
          <w:t xml:space="preserve">https://doi.org/10.52202/079017-3570</w:t>
        </w:r>
      </w:hyperlink>
      <w:r>
        <w:t xml:space="preserve">.</w:t>
      </w:r>
    </w:p>
    <w:bookmarkEnd w:id="63"/>
    <w:bookmarkStart w:id="65"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4">
        <w:r>
          <w:rPr>
            <w:rStyle w:val="Hyperlink"/>
          </w:rPr>
          <w:t xml:space="preserve">https://proceedings.mlr.press/v267/hu25g.html</w:t>
        </w:r>
      </w:hyperlink>
      <w:r>
        <w:t xml:space="preserve">.</w:t>
      </w:r>
    </w:p>
    <w:bookmarkEnd w:id="65"/>
    <w:bookmarkStart w:id="67"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6">
        <w:r>
          <w:rPr>
            <w:rStyle w:val="Hyperlink"/>
          </w:rPr>
          <w:t xml:space="preserve">https://openreview.net/forum?id=wPEIStHxYH</w:t>
        </w:r>
      </w:hyperlink>
      <w:r>
        <w:t xml:space="preserve">.</w:t>
      </w:r>
    </w:p>
    <w:bookmarkEnd w:id="67"/>
    <w:bookmarkStart w:id="69"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8">
        <w:r>
          <w:rPr>
            <w:rStyle w:val="Hyperlink"/>
          </w:rPr>
          <w:t xml:space="preserve">https://doi.org/10.1177/1948550617697177</w:t>
        </w:r>
      </w:hyperlink>
      <w:r>
        <w:t xml:space="preserve">.</w:t>
      </w:r>
    </w:p>
    <w:bookmarkEnd w:id="69"/>
    <w:bookmarkStart w:id="71"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0">
        <w:r>
          <w:rPr>
            <w:rStyle w:val="Hyperlink"/>
          </w:rPr>
          <w:t xml:space="preserve">https://doi.org/10.48550/arXiv.2503.00200</w:t>
        </w:r>
      </w:hyperlink>
      <w:r>
        <w:t xml:space="preserve">.</w:t>
      </w:r>
    </w:p>
    <w:bookmarkEnd w:id="71"/>
    <w:bookmarkStart w:id="73"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2">
        <w:r>
          <w:rPr>
            <w:rStyle w:val="Hyperlink"/>
          </w:rPr>
          <w:t xml:space="preserve">https://doi.org/10.52202/075280-1939</w:t>
        </w:r>
      </w:hyperlink>
      <w:r>
        <w:t xml:space="preserve">.</w:t>
      </w:r>
    </w:p>
    <w:bookmarkEnd w:id="73"/>
    <w:bookmarkStart w:id="75"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4">
        <w:r>
          <w:rPr>
            <w:rStyle w:val="Hyperlink"/>
          </w:rPr>
          <w:t xml:space="preserve">https://doi.org/10.52202/068431-1262</w:t>
        </w:r>
      </w:hyperlink>
      <w:r>
        <w:t xml:space="preserve">.</w:t>
      </w:r>
    </w:p>
    <w:bookmarkEnd w:id="75"/>
    <w:bookmarkStart w:id="77"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6">
        <w:r>
          <w:rPr>
            <w:rStyle w:val="Hyperlink"/>
          </w:rPr>
          <w:t xml:space="preserve">https://doi.org/10.15607/RSS.2024.XX.050</w:t>
        </w:r>
      </w:hyperlink>
      <w:r>
        <w:t xml:space="preserve">.</w:t>
      </w:r>
    </w:p>
    <w:bookmarkEnd w:id="77"/>
    <w:bookmarkStart w:id="79"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8">
        <w:r>
          <w:rPr>
            <w:rStyle w:val="Hyperlink"/>
          </w:rPr>
          <w:t xml:space="preserve">https://doi.org/10.48550/arXiv.2606.02800</w:t>
        </w:r>
      </w:hyperlink>
      <w:r>
        <w:t xml:space="preserve">.</w:t>
      </w:r>
    </w:p>
    <w:bookmarkEnd w:id="79"/>
    <w:bookmarkStart w:id="81"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0">
        <w:r>
          <w:rPr>
            <w:rStyle w:val="Hyperlink"/>
          </w:rPr>
          <w:t xml:space="preserve">https://huggingface.co/nvidia/Cosmos3-Nano-Policy-DROID</w:t>
        </w:r>
      </w:hyperlink>
      <w:r>
        <w:t xml:space="preserve">.</w:t>
      </w:r>
    </w:p>
    <w:bookmarkEnd w:id="81"/>
    <w:bookmarkStart w:id="83"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2">
        <w:r>
          <w:rPr>
            <w:rStyle w:val="Hyperlink"/>
          </w:rPr>
          <w:t xml:space="preserve">https://doi.org/10.48550/arXiv.2606.12217</w:t>
        </w:r>
      </w:hyperlink>
      <w:r>
        <w:t xml:space="preserve">.</w:t>
      </w:r>
    </w:p>
    <w:bookmarkEnd w:id="83"/>
    <w:bookmarkStart w:id="85"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4">
        <w:r>
          <w:rPr>
            <w:rStyle w:val="Hyperlink"/>
          </w:rPr>
          <w:t xml:space="preserve">https://doi.org/10.48550/arXiv.2606.27510</w:t>
        </w:r>
      </w:hyperlink>
      <w:r>
        <w:t xml:space="preserve">.</w:t>
      </w:r>
    </w:p>
    <w:bookmarkEnd w:id="85"/>
    <w:bookmarkStart w:id="87"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6">
        <w:r>
          <w:rPr>
            <w:rStyle w:val="Hyperlink"/>
          </w:rPr>
          <w:t xml:space="preserve">https://proceedings.neurips.cc/paper/2020/hash/92650b2e92217715fe312e6fa7b90d82-Abstract.html</w:t>
        </w:r>
      </w:hyperlink>
      <w:r>
        <w:t xml:space="preserve">.</w:t>
      </w:r>
    </w:p>
    <w:bookmarkEnd w:id="87"/>
    <w:bookmarkStart w:id="89"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8">
        <w:r>
          <w:rPr>
            <w:rStyle w:val="Hyperlink"/>
          </w:rPr>
          <w:t xml:space="preserve">https://doi.org/10.15607/RSS.2026.XXII.096</w:t>
        </w:r>
      </w:hyperlink>
      <w:r>
        <w:t xml:space="preserve">.</w:t>
      </w:r>
    </w:p>
    <w:bookmarkEnd w:id="89"/>
    <w:bookmarkStart w:id="91"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0">
        <w:r>
          <w:rPr>
            <w:rStyle w:val="Hyperlink"/>
          </w:rPr>
          <w:t xml:space="preserve">https://doi.org/10.48550/arXiv.2602.15922</w:t>
        </w:r>
      </w:hyperlink>
      <w:r>
        <w:t xml:space="preserve">.</w:t>
      </w:r>
    </w:p>
    <w:bookmarkEnd w:id="91"/>
    <w:bookmarkStart w:id="93"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2">
        <w:r>
          <w:rPr>
            <w:rStyle w:val="Hyperlink"/>
          </w:rPr>
          <w:t xml:space="preserve">https://doi.org/10.48550/arXiv.2603.16666</w:t>
        </w:r>
      </w:hyperlink>
      <w:r>
        <w:t xml:space="preserve">.</w:t>
      </w:r>
    </w:p>
    <w:bookmarkEnd w:id="93"/>
    <w:bookmarkStart w:id="95"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4">
        <w:r>
          <w:rPr>
            <w:rStyle w:val="Hyperlink"/>
          </w:rPr>
          <w:t xml:space="preserve">https://doi.org/10.48550/arXiv.2608.11521</w:t>
        </w:r>
      </w:hyperlink>
      <w:r>
        <w:t xml:space="preserve">.</w:t>
      </w:r>
    </w:p>
    <w:bookmarkEnd w:id="95"/>
    <w:bookmarkStart w:id="97"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6">
        <w:r>
          <w:rPr>
            <w:rStyle w:val="Hyperlink"/>
          </w:rPr>
          <w:t xml:space="preserve">https://openreview.net/forum?id=Hf17y6u9BC</w:t>
        </w:r>
      </w:hyperlink>
      <w:r>
        <w:t xml:space="preserve">.</w:t>
      </w:r>
    </w:p>
    <w:bookmarkEnd w:id="97"/>
    <w:bookmarkStart w:id="99"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8">
        <w:r>
          <w:rPr>
            <w:rStyle w:val="Hyperlink"/>
          </w:rPr>
          <w:t xml:space="preserve">https://doi.org/10.48550/arXiv.2608.04404</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hyperlink" Id="rId56" Target="https://arxiv.org/abs/1812.00568" TargetMode="External" /><Relationship Type="http://schemas.openxmlformats.org/officeDocument/2006/relationships/hyperlink" Id="rId58" Target="https://doi.org/10.1111/j.1467-9868.2007.00593.x" TargetMode="External" /><Relationship Type="http://schemas.openxmlformats.org/officeDocument/2006/relationships/hyperlink" Id="rId68" Target="https://doi.org/10.1177/1948550617697177" TargetMode="External" /><Relationship Type="http://schemas.openxmlformats.org/officeDocument/2006/relationships/hyperlink" Id="rId76" Target="https://doi.org/10.15607/RSS.2024.XX.050" TargetMode="External" /><Relationship Type="http://schemas.openxmlformats.org/officeDocument/2006/relationships/hyperlink" Id="rId88" Target="https://doi.org/10.15607/RSS.2026.XXII.096" TargetMode="External" /><Relationship Type="http://schemas.openxmlformats.org/officeDocument/2006/relationships/hyperlink" Id="rId60" Target="https://doi.org/10.48550/arXiv.2304.05969" TargetMode="External" /><Relationship Type="http://schemas.openxmlformats.org/officeDocument/2006/relationships/hyperlink" Id="rId70" Target="https://doi.org/10.48550/arXiv.2503.00200" TargetMode="External" /><Relationship Type="http://schemas.openxmlformats.org/officeDocument/2006/relationships/hyperlink" Id="rId90" Target="https://doi.org/10.48550/arXiv.2602.15922" TargetMode="External" /><Relationship Type="http://schemas.openxmlformats.org/officeDocument/2006/relationships/hyperlink" Id="rId92" Target="https://doi.org/10.48550/arXiv.2603.16666" TargetMode="External" /><Relationship Type="http://schemas.openxmlformats.org/officeDocument/2006/relationships/hyperlink" Id="rId78" Target="https://doi.org/10.48550/arXiv.2606.02800" TargetMode="External" /><Relationship Type="http://schemas.openxmlformats.org/officeDocument/2006/relationships/hyperlink" Id="rId82" Target="https://doi.org/10.48550/arXiv.2606.12217" TargetMode="External" /><Relationship Type="http://schemas.openxmlformats.org/officeDocument/2006/relationships/hyperlink" Id="rId84" Target="https://doi.org/10.48550/arXiv.2606.27510" TargetMode="External" /><Relationship Type="http://schemas.openxmlformats.org/officeDocument/2006/relationships/hyperlink" Id="rId98" Target="https://doi.org/10.48550/arXiv.2608.04404" TargetMode="External" /><Relationship Type="http://schemas.openxmlformats.org/officeDocument/2006/relationships/hyperlink" Id="rId94" Target="https://doi.org/10.48550/arXiv.2608.11521" TargetMode="External" /><Relationship Type="http://schemas.openxmlformats.org/officeDocument/2006/relationships/hyperlink" Id="rId74" Target="https://doi.org/10.52202/068431-1262" TargetMode="External" /><Relationship Type="http://schemas.openxmlformats.org/officeDocument/2006/relationships/hyperlink" Id="rId72" Target="https://doi.org/10.52202/075280-1939" TargetMode="External" /><Relationship Type="http://schemas.openxmlformats.org/officeDocument/2006/relationships/hyperlink" Id="rId62" Target="https://doi.org/10.52202/079017-3570" TargetMode="External" /><Relationship Type="http://schemas.openxmlformats.org/officeDocument/2006/relationships/hyperlink" Id="rId80" Target="https://huggingface.co/nvidia/Cosmos3-Nano-Policy-DROID" TargetMode="External" /><Relationship Type="http://schemas.openxmlformats.org/officeDocument/2006/relationships/hyperlink" Id="rId50" Target="https://neurips.cc/public/EthicsGuidelines" TargetMode="External" /><Relationship Type="http://schemas.openxmlformats.org/officeDocument/2006/relationships/hyperlink" Id="rId49" Target="https://neurips.cc/public/guides/CodeSubmissionPolicy" TargetMode="External" /><Relationship Type="http://schemas.openxmlformats.org/officeDocument/2006/relationships/hyperlink" Id="rId54" Target="https://openreview.net/forum?id=9pKtcJcMP3" TargetMode="External" /><Relationship Type="http://schemas.openxmlformats.org/officeDocument/2006/relationships/hyperlink" Id="rId96" Target="https://openreview.net/forum?id=Hf17y6u9BC" TargetMode="External" /><Relationship Type="http://schemas.openxmlformats.org/officeDocument/2006/relationships/hyperlink" Id="rId66" Target="https://openreview.net/forum?id=wPEIStHxYH" TargetMode="External" /><Relationship Type="http://schemas.openxmlformats.org/officeDocument/2006/relationships/hyperlink" Id="rId64" Target="https://proceedings.mlr.press/v267/hu25g.html" TargetMode="External" /><Relationship Type="http://schemas.openxmlformats.org/officeDocument/2006/relationships/hyperlink" Id="rId86" Target="https://proceedings.neurips.cc/paper/2020/hash/92650b2e92217715fe312e6fa7b90d82-Abstract.html" TargetMode="External" /><Relationship Type="http://schemas.openxmlformats.org/officeDocument/2006/relationships/hyperlink" Id="rId52" Target="https://proceedings.neurips.cc/paper_files/paper/2023/hash/1d5b9233ad716a43be5c0d3023cb82d0-Abstract.html" TargetMode="External" /><Relationship Type="http://schemas.openxmlformats.org/officeDocument/2006/relationships/hyperlink" Id="rId51"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812.00568" TargetMode="External" /><Relationship Type="http://schemas.openxmlformats.org/officeDocument/2006/relationships/hyperlink" Id="rId58" Target="https://doi.org/10.1111/j.1467-9868.2007.00593.x" TargetMode="External" /><Relationship Type="http://schemas.openxmlformats.org/officeDocument/2006/relationships/hyperlink" Id="rId68" Target="https://doi.org/10.1177/1948550617697177" TargetMode="External" /><Relationship Type="http://schemas.openxmlformats.org/officeDocument/2006/relationships/hyperlink" Id="rId76" Target="https://doi.org/10.15607/RSS.2024.XX.050" TargetMode="External" /><Relationship Type="http://schemas.openxmlformats.org/officeDocument/2006/relationships/hyperlink" Id="rId88" Target="https://doi.org/10.15607/RSS.2026.XXII.096" TargetMode="External" /><Relationship Type="http://schemas.openxmlformats.org/officeDocument/2006/relationships/hyperlink" Id="rId60" Target="https://doi.org/10.48550/arXiv.2304.05969" TargetMode="External" /><Relationship Type="http://schemas.openxmlformats.org/officeDocument/2006/relationships/hyperlink" Id="rId70" Target="https://doi.org/10.48550/arXiv.2503.00200" TargetMode="External" /><Relationship Type="http://schemas.openxmlformats.org/officeDocument/2006/relationships/hyperlink" Id="rId90" Target="https://doi.org/10.48550/arXiv.2602.15922" TargetMode="External" /><Relationship Type="http://schemas.openxmlformats.org/officeDocument/2006/relationships/hyperlink" Id="rId92" Target="https://doi.org/10.48550/arXiv.2603.16666" TargetMode="External" /><Relationship Type="http://schemas.openxmlformats.org/officeDocument/2006/relationships/hyperlink" Id="rId78" Target="https://doi.org/10.48550/arXiv.2606.02800" TargetMode="External" /><Relationship Type="http://schemas.openxmlformats.org/officeDocument/2006/relationships/hyperlink" Id="rId82" Target="https://doi.org/10.48550/arXiv.2606.12217" TargetMode="External" /><Relationship Type="http://schemas.openxmlformats.org/officeDocument/2006/relationships/hyperlink" Id="rId84" Target="https://doi.org/10.48550/arXiv.2606.27510" TargetMode="External" /><Relationship Type="http://schemas.openxmlformats.org/officeDocument/2006/relationships/hyperlink" Id="rId98" Target="https://doi.org/10.48550/arXiv.2608.04404" TargetMode="External" /><Relationship Type="http://schemas.openxmlformats.org/officeDocument/2006/relationships/hyperlink" Id="rId94" Target="https://doi.org/10.48550/arXiv.2608.11521" TargetMode="External" /><Relationship Type="http://schemas.openxmlformats.org/officeDocument/2006/relationships/hyperlink" Id="rId74" Target="https://doi.org/10.52202/068431-1262" TargetMode="External" /><Relationship Type="http://schemas.openxmlformats.org/officeDocument/2006/relationships/hyperlink" Id="rId72" Target="https://doi.org/10.52202/075280-1939" TargetMode="External" /><Relationship Type="http://schemas.openxmlformats.org/officeDocument/2006/relationships/hyperlink" Id="rId62" Target="https://doi.org/10.52202/079017-3570" TargetMode="External" /><Relationship Type="http://schemas.openxmlformats.org/officeDocument/2006/relationships/hyperlink" Id="rId80" Target="https://huggingface.co/nvidia/Cosmos3-Nano-Policy-DROID" TargetMode="External" /><Relationship Type="http://schemas.openxmlformats.org/officeDocument/2006/relationships/hyperlink" Id="rId50" Target="https://neurips.cc/public/EthicsGuidelines" TargetMode="External" /><Relationship Type="http://schemas.openxmlformats.org/officeDocument/2006/relationships/hyperlink" Id="rId49" Target="https://neurips.cc/public/guides/CodeSubmissionPolicy" TargetMode="External" /><Relationship Type="http://schemas.openxmlformats.org/officeDocument/2006/relationships/hyperlink" Id="rId54" Target="https://openreview.net/forum?id=9pKtcJcMP3" TargetMode="External" /><Relationship Type="http://schemas.openxmlformats.org/officeDocument/2006/relationships/hyperlink" Id="rId96" Target="https://openreview.net/forum?id=Hf17y6u9BC" TargetMode="External" /><Relationship Type="http://schemas.openxmlformats.org/officeDocument/2006/relationships/hyperlink" Id="rId66" Target="https://openreview.net/forum?id=wPEIStHxYH" TargetMode="External" /><Relationship Type="http://schemas.openxmlformats.org/officeDocument/2006/relationships/hyperlink" Id="rId64" Target="https://proceedings.mlr.press/v267/hu25g.html" TargetMode="External" /><Relationship Type="http://schemas.openxmlformats.org/officeDocument/2006/relationships/hyperlink" Id="rId86" Target="https://proceedings.neurips.cc/paper/2020/hash/92650b2e92217715fe312e6fa7b90d82-Abstract.html" TargetMode="External" /><Relationship Type="http://schemas.openxmlformats.org/officeDocument/2006/relationships/hyperlink" Id="rId52" Target="https://proceedings.neurips.cc/paper_files/paper/2023/hash/1d5b9233ad716a43be5c0d3023cb82d0-Abstract.html" TargetMode="External" /><Relationship Type="http://schemas.openxmlformats.org/officeDocument/2006/relationships/hyperlink" Id="rId51"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2026-09-02T08:43:49Z</dcterms:created>
  <dcterms:modified xsi:type="dcterms:W3CDTF">2026-09-02T08:43:49Z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