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action could be generated through a direct observation-to-action route while a plausible video is produced alongside it.</w:t>
      </w:r>
    </w:p>
    <w:p>
      <w:pPr>
        <w:pStyle w:val="BodyText"/>
      </w:pPr>
      <w:r>
        <w:t xml:space="preserve">This leaves at least four hypotheses about the future’s role: an epiphenomenal output with no functional role; a generic workspace whose presence matters but whose specific content does not; a content-specific action interface; or a representation of consequences used to compare actions. The third role includes an inverse-dynamics-like computation in which a prospective robot pose specifies the action needed to produce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The fourth more closely resembles explicit visual planning: generate alternatives, predict their outcomes, score them with a cost or learned heuristic, and select among them</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139690" cy="275844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139690" cy="275844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6" w:name="sec:results"/>
    <w:p>
      <w:pPr>
        <w:pStyle w:val="Heading1"/>
      </w:pPr>
      <w:r>
        <w:t xml:space="preserve">Results</w:t>
      </w:r>
    </w:p>
    <w:bookmarkStart w:id="33" w:name="sec:steering"/>
    <w:p>
      <w:pPr>
        <w:pStyle w:val="Heading2"/>
      </w:pPr>
      <w:r>
        <w:t xml:space="preserve">Do coherent futures steer behavior?</w:t>
      </w:r>
    </w:p>
    <w:p>
      <w:pPr>
        <w:pStyle w:val="FirstParagraph"/>
      </w:pPr>
      <w:r>
        <w:t xml:space="preserve">Coherent donor futures move both the recipient’s action and its one-chunk simulator endpoint toward the donor. Tables </w:t>
      </w:r>
      <w:hyperlink w:anchor="tab:cosmos3-controls">
        <w:r>
          <w:rPr>
            <w:rStyle w:val="Hyperlink"/>
          </w:rPr>
          <w:t xml:space="preserve">1</w:t>
        </w:r>
      </w:hyperlink>
      <w:r>
        <w:t xml:space="preserve"> </w:t>
      </w:r>
      <w:r>
        <w:t xml:space="preserve">and</w:t>
      </w:r>
      <w:r>
        <w:t xml:space="preserve"> </w:t>
      </w:r>
      <w:hyperlink w:anchor="tab:policy-controls">
        <w:r>
          <w:rPr>
            <w:rStyle w:val="Hyperlink"/>
          </w:rPr>
          <w:t xml:space="preserve">2</w:t>
        </w:r>
      </w:hyperlink>
      <w:r>
        <w:t xml:space="preserve"> </w:t>
      </w:r>
      <w:r>
        <w:t xml:space="preserve">report every confirmatory steering contrast against its named comparator; Figure </w:t>
      </w:r>
      <w:hyperlink w:anchor="fig:cosmos3">
        <w:r>
          <w:rPr>
            <w:rStyle w:val="Hyperlink"/>
          </w:rPr>
          <w:t xml:space="preserve">3</w:t>
        </w:r>
      </w:hyperlink>
      <w:r>
        <w:t xml:space="preserve">a and Figure </w:t>
      </w:r>
      <w:hyperlink w:anchor="fig:policy">
        <w:r>
          <w:rPr>
            <w:rStyle w:val="Hyperlink"/>
          </w:rPr>
          <w:t xml:space="preserve">2</w:t>
        </w:r>
      </w:hyperlink>
      <w:r>
        <w:t xml:space="preserve">b show the same estimates graphically. A value of 1 means that the intervention moves the recipient the full recipient-to-donor distance along the donor direction. A positive donor-minus-control contrast means that the paired donor future steers more strongly than that control.</w:t>
      </w:r>
    </w:p>
    <w:bookmarkStart w:id="26" w:name="cosmos-3.-1"/>
    <w:p>
      <w:pPr>
        <w:pStyle w:val="Heading4"/>
      </w:pPr>
      <w:r>
        <w:t xml:space="preserve">Cosmos 3.</w:t>
      </w:r>
    </w:p>
    <w:p>
      <w:pPr>
        <w:pStyle w:val="FirstParagraph"/>
      </w:pPr>
      <w:r>
        <w:t xml:space="preserve">Across 22 completed states and all six tasks, a predicted 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Table </w:t>
      </w:r>
      <w:hyperlink w:anchor="tab:cosmos3-controls">
        <w:r>
          <w:rPr>
            <w:rStyle w:val="Hyperlink"/>
          </w:rPr>
          <w:t xml:space="preserve">1</w:t>
        </w:r>
      </w:hyperlink>
      <w:r>
        <w:t xml:space="preserve">). The same donor exceeds the prespecified natural-future control by</w:t>
      </w:r>
      <w:r>
        <w:t xml:space="preserve"> </w:t>
      </w:r>
      <m:oMath>
        <m:r>
          <m:t>0.433</m:t>
        </m:r>
      </m:oMath>
      <w:r>
        <w:t xml:space="preserve"> </w:t>
      </w:r>
      <w:r>
        <w:t xml:space="preserve">(</w:t>
      </w:r>
      <m:oMath>
        <m:r>
          <m:rPr>
            <m:sty m:val="p"/>
          </m:rPr>
          <m:t>[</m:t>
        </m:r>
        <m:r>
          <m:t>0.332</m:t>
        </m:r>
        <m:r>
          <m:rPr>
            <m:sty m:val="p"/>
          </m:rPr>
          <m:t>,</m:t>
        </m:r>
        <m:r>
          <m:t>0.538</m:t>
        </m:r>
        <m:r>
          <m:rPr>
            <m:sty m:val="p"/>
          </m:rPr>
          <m:t>]</m:t>
        </m:r>
      </m:oMath>
      <w:r>
        <w:t xml:space="preserve">; 21/22). Executed donor videos give nearly the same result: action steering is</w:t>
      </w:r>
      <w:r>
        <w:t xml:space="preserve"> </w:t>
      </w:r>
      <m:oMath>
        <m:r>
          <m:t>0.983</m:t>
        </m:r>
      </m:oMath>
      <w:r>
        <w:t xml:space="preserve"> </w:t>
      </w:r>
      <w:r>
        <w:t xml:space="preserve">(</w:t>
      </w:r>
      <m:oMath>
        <m:r>
          <m:rPr>
            <m:sty m:val="p"/>
          </m:rPr>
          <m:t>[</m:t>
        </m:r>
        <m:r>
          <m:t>0.890</m:t>
        </m:r>
        <m:r>
          <m:rPr>
            <m:sty m:val="p"/>
          </m:rPr>
          <m:t>,</m:t>
        </m:r>
        <m:r>
          <m:t>1.064</m:t>
        </m:r>
        <m:r>
          <m:rPr>
            <m:sty m:val="p"/>
          </m:rPr>
          <m:t>]</m:t>
        </m:r>
      </m:oMath>
      <w:r>
        <w:t xml:space="preserve">; 22/22), and executing that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Executed-future action steering also exceeds the geometry-matched Gaussian control by</w:t>
      </w:r>
      <w:r>
        <w:t xml:space="preserve"> </w:t>
      </w:r>
      <m:oMath>
        <m:r>
          <m:t>0.941</m:t>
        </m:r>
      </m:oMath>
      <w:r>
        <w:t xml:space="preserve"> </w:t>
      </w:r>
      <w:r>
        <w:t xml:space="preserve">(</w:t>
      </w:r>
      <m:oMath>
        <m:r>
          <m:rPr>
            <m:sty m:val="p"/>
          </m:rPr>
          <m:t>[</m:t>
        </m:r>
        <m:r>
          <m:t>0.837</m:t>
        </m:r>
        <m:r>
          <m:rPr>
            <m:sty m:val="p"/>
          </m:rPr>
          <m:t>,</m:t>
        </m:r>
        <m:r>
          <m:t>1.032</m:t>
        </m:r>
        <m:r>
          <m:rPr>
            <m:sty m:val="p"/>
          </m:rPr>
          <m:t>]</m:t>
        </m:r>
      </m:oMath>
      <w:r>
        <w:t xml:space="preserve">; 22/22) and the natural control by</w:t>
      </w:r>
      <w:r>
        <w:t xml:space="preserve"> </w:t>
      </w:r>
      <m:oMath>
        <m:r>
          <m:t>0.391</m:t>
        </m:r>
      </m:oMath>
      <w:r>
        <w:t xml:space="preserve"> </w:t>
      </w:r>
      <w:r>
        <w:t xml:space="preserve">(</w:t>
      </w:r>
      <m:oMath>
        <m:r>
          <m:rPr>
            <m:sty m:val="p"/>
          </m:rPr>
          <m:t>[</m:t>
        </m:r>
        <m:r>
          <m:t>0.246</m:t>
        </m:r>
        <m:r>
          <m:rPr>
            <m:sty m:val="p"/>
          </m:rPr>
          <m:t>,</m:t>
        </m:r>
        <m:r>
          <m:t>0.533</m:t>
        </m:r>
        <m:r>
          <m:rPr>
            <m:sty m:val="p"/>
          </m:rPr>
          <m:t>]</m:t>
        </m:r>
      </m:oMath>
      <w:r>
        <w:t xml:space="preserve">; 18/22).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cosmos3-controls"/>
    <w:p>
      <w:pPr>
        <w:pStyle w:val="TableCaption"/>
      </w:pPr>
      <w:r>
        <w:t xml:space="preserve">Cosmos 3 steering and controls. Each estimate is paired donor-future projection minus the named comparator, averaged within state; intervals are 95% state-bootstrap CIs.</w:t>
      </w:r>
      <w:r>
        <w:t xml:space="preserve"> </w:t>
      </w:r>
      <w:r>
        <w:t xml:space="preserve">“Executed self”</w:t>
      </w:r>
      <w:r>
        <w:t xml:space="preserve"> </w:t>
      </w:r>
      <w:r>
        <w:t xml:space="preserve">reruns the executed-video intervention with the recipient’s own executed future. Controls not listed for a future source/outcome were not run.</w:t>
      </w:r>
    </w:p>
    <w:tbl>
      <w:tblPr>
        <w:tblStyle w:val="Table"/>
        <w:tblW w:type="auto" w:w="0"/>
        <w:tblLook w:firstRow="1" w:lastRow="0" w:firstColumn="0" w:lastColumn="0" w:noHBand="0" w:noVBand="0" w:val="0020"/>
        <w:tblCaption w:val="Cosmos 3 steering and controls. Each estimate is paired donor-future projection minus the named comparator, averaged within state; intervals are 95% state-bootstrap CIs. “Executed self” reruns the executed-video intervention with the recipient’s own executed future. Controls not listed for a future source/outcome were not run."/>
      </w:tblPr>
      <w:tblGrid>
        <w:gridCol w:w="1980"/>
        <w:gridCol w:w="1980"/>
        <w:gridCol w:w="1980"/>
        <w:gridCol w:w="1980"/>
      </w:tblGrid>
      <w:tr>
        <w:trPr>
          <w:tblHeader w:val="on"/>
        </w:trPr>
        <w:tc>
          <w:tcPr/>
          <w:p>
            <w:pPr>
              <w:pStyle w:val="Compact"/>
              <w:jc w:val="left"/>
            </w:pPr>
            <w:r>
              <w:t xml:space="preserve">Intervention outcome</w:t>
            </w:r>
          </w:p>
        </w:tc>
        <w:tc>
          <w:tcPr/>
          <w:p>
            <w:pPr>
              <w:pStyle w:val="Compact"/>
              <w:jc w:val="left"/>
            </w:pPr>
            <w:r>
              <w:t xml:space="preserve">Comparator</w:t>
            </w:r>
          </w:p>
        </w:tc>
        <w:tc>
          <w:tcPr/>
          <w:p>
            <w:pPr>
              <w:pStyle w:val="Compact"/>
              <w:jc w:val="center"/>
            </w:pPr>
            <w:r>
              <w:t xml:space="preserve">Mean [95% CI]</w:t>
            </w:r>
          </w:p>
        </w:tc>
        <w:tc>
          <w:tcPr/>
          <w:p>
            <w:pPr>
              <w:pStyle w:val="Compact"/>
              <w:jc w:val="center"/>
            </w:pPr>
            <w:r>
              <w:t xml:space="preserve">Positive states</w:t>
            </w:r>
          </w:p>
        </w:tc>
      </w:tr>
      <w:tr>
        <w:tc>
          <w:tcPr/>
          <w:p>
            <w:pPr>
              <w:pStyle w:val="Compact"/>
              <w:jc w:val="left"/>
            </w:pPr>
            <w:r>
              <w:t xml:space="preserve">Predicted future, action</w:t>
            </w:r>
          </w:p>
        </w:tc>
        <w:tc>
          <w:tcPr/>
          <w:p>
            <w:pPr>
              <w:pStyle w:val="Compact"/>
              <w:jc w:val="left"/>
            </w:pPr>
            <w:r>
              <w:t xml:space="preserve">Self recomputation</w:t>
            </w:r>
          </w:p>
        </w:tc>
        <w:tc>
          <w:tcPr/>
          <w:p>
            <w:pPr>
              <w:pStyle w:val="Compact"/>
              <w:jc w:val="center"/>
            </w:pPr>
            <w:r>
              <w:t xml:space="preserve">0.992 [0.972, 1.010]</w:t>
            </w:r>
          </w:p>
        </w:tc>
        <w:tc>
          <w:tcPr/>
          <w:p>
            <w:pPr>
              <w:pStyle w:val="Compact"/>
              <w:jc w:val="center"/>
            </w:pPr>
            <w:r>
              <w:t xml:space="preserve">22/22</w:t>
            </w:r>
          </w:p>
        </w:tc>
      </w:tr>
      <w:tr>
        <w:tc>
          <w:tcPr/>
          <w:p>
            <w:pPr>
              <w:pStyle w:val="Compact"/>
              <w:jc w:val="left"/>
            </w:pPr>
            <w:r>
              <w:t xml:space="preserve">Predicted future, action</w:t>
            </w:r>
          </w:p>
        </w:tc>
        <w:tc>
          <w:tcPr/>
          <w:p>
            <w:pPr>
              <w:pStyle w:val="Compact"/>
              <w:jc w:val="left"/>
            </w:pPr>
            <w:r>
              <w:t xml:space="preserve">Natural future</w:t>
            </w:r>
          </w:p>
        </w:tc>
        <w:tc>
          <w:tcPr/>
          <w:p>
            <w:pPr>
              <w:pStyle w:val="Compact"/>
              <w:jc w:val="center"/>
            </w:pPr>
            <w:r>
              <w:t xml:space="preserve">0.433 [0.332, 0.538]</w:t>
            </w:r>
          </w:p>
        </w:tc>
        <w:tc>
          <w:tcPr/>
          <w:p>
            <w:pPr>
              <w:pStyle w:val="Compact"/>
              <w:jc w:val="center"/>
            </w:pPr>
            <w:r>
              <w:t xml:space="preserve">21/22</w:t>
            </w:r>
          </w:p>
        </w:tc>
      </w:tr>
      <w:tr>
        <w:tc>
          <w:tcPr/>
          <w:p>
            <w:pPr>
              <w:pStyle w:val="Compact"/>
              <w:jc w:val="left"/>
            </w:pPr>
            <w:r>
              <w:t xml:space="preserve">Executed future, action</w:t>
            </w:r>
          </w:p>
        </w:tc>
        <w:tc>
          <w:tcPr/>
          <w:p>
            <w:pPr>
              <w:pStyle w:val="Compact"/>
              <w:jc w:val="left"/>
            </w:pPr>
            <w:r>
              <w:t xml:space="preserve">Executed self</w:t>
            </w:r>
          </w:p>
        </w:tc>
        <w:tc>
          <w:tcPr/>
          <w:p>
            <w:pPr>
              <w:pStyle w:val="Compact"/>
              <w:jc w:val="center"/>
            </w:pPr>
            <w:r>
              <w:t xml:space="preserve">0.983 [0.890, 1.064]</w:t>
            </w:r>
          </w:p>
        </w:tc>
        <w:tc>
          <w:tcPr/>
          <w:p>
            <w:pPr>
              <w:pStyle w:val="Compact"/>
              <w:jc w:val="center"/>
            </w:pPr>
            <w:r>
              <w:t xml:space="preserve">22/22</w:t>
            </w:r>
          </w:p>
        </w:tc>
      </w:tr>
      <w:tr>
        <w:tc>
          <w:tcPr/>
          <w:p>
            <w:pPr>
              <w:pStyle w:val="Compact"/>
              <w:jc w:val="left"/>
            </w:pPr>
            <w:r>
              <w:t xml:space="preserve">Executed future, action</w:t>
            </w:r>
          </w:p>
        </w:tc>
        <w:tc>
          <w:tcPr/>
          <w:p>
            <w:pPr>
              <w:pStyle w:val="Compact"/>
              <w:jc w:val="left"/>
            </w:pPr>
            <w:r>
              <w:t xml:space="preserve">Matched Gaussian</w:t>
            </w:r>
          </w:p>
        </w:tc>
        <w:tc>
          <w:tcPr/>
          <w:p>
            <w:pPr>
              <w:pStyle w:val="Compact"/>
              <w:jc w:val="center"/>
            </w:pPr>
            <w:r>
              <w:t xml:space="preserve">0.941 [0.837, 1.032]</w:t>
            </w:r>
          </w:p>
        </w:tc>
        <w:tc>
          <w:tcPr/>
          <w:p>
            <w:pPr>
              <w:pStyle w:val="Compact"/>
              <w:jc w:val="center"/>
            </w:pPr>
            <w:r>
              <w:t xml:space="preserve">22/22</w:t>
            </w:r>
          </w:p>
        </w:tc>
      </w:tr>
      <w:tr>
        <w:tc>
          <w:tcPr/>
          <w:p>
            <w:pPr>
              <w:pStyle w:val="Compact"/>
              <w:jc w:val="left"/>
            </w:pPr>
            <w:r>
              <w:t xml:space="preserve">Executed future, action</w:t>
            </w:r>
          </w:p>
        </w:tc>
        <w:tc>
          <w:tcPr/>
          <w:p>
            <w:pPr>
              <w:pStyle w:val="Compact"/>
              <w:jc w:val="left"/>
            </w:pPr>
            <w:r>
              <w:t xml:space="preserve">Natural future</w:t>
            </w:r>
          </w:p>
        </w:tc>
        <w:tc>
          <w:tcPr/>
          <w:p>
            <w:pPr>
              <w:pStyle w:val="Compact"/>
              <w:jc w:val="center"/>
            </w:pPr>
            <w:r>
              <w:t xml:space="preserve">0.391 [0.246, 0.533]</w:t>
            </w:r>
          </w:p>
        </w:tc>
        <w:tc>
          <w:tcPr/>
          <w:p>
            <w:pPr>
              <w:pStyle w:val="Compact"/>
              <w:jc w:val="center"/>
            </w:pPr>
            <w:r>
              <w:t xml:space="preserve">18/22</w:t>
            </w:r>
          </w:p>
        </w:tc>
      </w:tr>
      <w:tr>
        <w:tc>
          <w:tcPr/>
          <w:p>
            <w:pPr>
              <w:pStyle w:val="Compact"/>
              <w:jc w:val="left"/>
            </w:pPr>
            <w:r>
              <w:t xml:space="preserve">Executed future, endpoint</w:t>
            </w:r>
          </w:p>
        </w:tc>
        <w:tc>
          <w:tcPr/>
          <w:p>
            <w:pPr>
              <w:pStyle w:val="Compact"/>
              <w:jc w:val="left"/>
            </w:pPr>
            <w:r>
              <w:t xml:space="preserve">Executed self</w:t>
            </w:r>
          </w:p>
        </w:tc>
        <w:tc>
          <w:tcPr/>
          <w:p>
            <w:pPr>
              <w:pStyle w:val="Compact"/>
              <w:jc w:val="center"/>
            </w:pPr>
            <w:r>
              <w:t xml:space="preserve">1.003 [0.950, 1.050]</w:t>
            </w:r>
          </w:p>
        </w:tc>
        <w:tc>
          <w:tcPr/>
          <w:p>
            <w:pPr>
              <w:pStyle w:val="Compact"/>
              <w:jc w:val="center"/>
            </w:pPr>
            <w:r>
              <w:t xml:space="preserve">22/22</w:t>
            </w:r>
          </w:p>
        </w:tc>
      </w:tr>
    </w:tbl>
    <w:bookmarkEnd w:id="25"/>
    <w:bookmarkEnd w:id="26"/>
    <w:bookmarkStart w:id="32" w:name="cosmos-policy.-1"/>
    <w:p>
      <w:pPr>
        <w:pStyle w:val="Heading4"/>
      </w:pPr>
      <w:r>
        <w:t xml:space="preserve">Cosmos Policy.</w:t>
      </w:r>
    </w:p>
    <w:p>
      <w:pPr>
        <w:pStyle w:val="FirstParagraph"/>
      </w:pPr>
      <w:r>
        <w:t xml:space="preserve">At the first query, donor-minus-self steering is</w:t>
      </w:r>
      <w:r>
        <w:t xml:space="preserve"> </w:t>
      </w:r>
      <m:oMath>
        <m:r>
          <m:t>0.499</m:t>
        </m:r>
      </m:oMath>
      <w:r>
        <w:t xml:space="preserve"> </w:t>
      </w:r>
      <w:r>
        <w:t xml:space="preserve">for actions and</w:t>
      </w:r>
      <w:r>
        <w:t xml:space="preserve"> </w:t>
      </w:r>
      <m:oMath>
        <m:r>
          <m:t>0.552</m:t>
        </m:r>
      </m:oMath>
      <w:r>
        <w:t xml:space="preserve"> </w:t>
      </w:r>
      <w:r>
        <w:t xml:space="preserve">for endpoints, positive in all ten tasks (Table </w:t>
      </w:r>
      <w:hyperlink w:anchor="tab:policy-controls">
        <w:r>
          <w:rPr>
            <w:rStyle w:val="Hyperlink"/>
          </w:rPr>
          <w:t xml:space="preserve">2</w:t>
        </w:r>
      </w:hyperlink>
      <w:r>
        <w:t xml:space="preserve">). The donor also exceeds Gaussian, natural, and shuffled controls for both outcomes. The natural-future contrast is the hardest comparison:</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(Figure </w:t>
      </w:r>
      <w:hyperlink w:anchor="fig:policy">
        <w:r>
          <w:rPr>
            <w:rStyle w:val="Hyperlink"/>
          </w:rPr>
          <w:t xml:space="preserve">2</w:t>
        </w:r>
      </w:hyperlink>
      <w:r>
        <w:t xml:space="preserve">a). Because each time point is a different physical state, this is state dependence associated with time, not a causal estimate of temporal decay.</w:t>
      </w:r>
    </w:p>
    <w:bookmarkStart w:id="27" w:name="tab:policy-controls"/>
    <w:p>
      <w:pPr>
        <w:pStyle w:val="TableCaption"/>
      </w:pPr>
      <w:r>
        <w:t xml:space="preserve">Cosmos Policy first-query steering and controls across ten LIBERO-Long tasks. Values are paired donor-future projection minus the named comparator; intervals are 95% task-bootstrap CIs.</w:t>
      </w:r>
    </w:p>
    <w:tbl>
      <w:tblPr>
        <w:tblStyle w:val="Table"/>
        <w:tblW w:type="auto" w:w="0"/>
        <w:tblLook w:firstRow="1" w:lastRow="0" w:firstColumn="0" w:lastColumn="0" w:noHBand="0" w:noVBand="0" w:val="0020"/>
        <w:tblCaption w:val="Cosmos Policy first-query steering and controls across ten LIBERO-Long tasks. Values are paired donor-future projection minus the named comparator; intervals are 95% task-bootstrap CIs."/>
      </w:tblPr>
      <w:tblGrid>
        <w:gridCol w:w="1980"/>
        <w:gridCol w:w="1980"/>
        <w:gridCol w:w="1980"/>
        <w:gridCol w:w="1980"/>
      </w:tblGrid>
      <w:tr>
        <w:trPr>
          <w:tblHeader w:val="on"/>
        </w:trPr>
        <w:tc>
          <w:tcPr/>
          <w:p>
            <w:pPr>
              <w:pStyle w:val="Compact"/>
              <w:jc w:val="left"/>
            </w:pPr>
            <w:r>
              <w:t xml:space="preserve">Comparator</w:t>
            </w:r>
          </w:p>
        </w:tc>
        <w:tc>
          <w:tcPr/>
          <w:p>
            <w:pPr>
              <w:pStyle w:val="Compact"/>
              <w:jc w:val="left"/>
            </w:pPr>
            <w:r>
              <w:t xml:space="preserve">Outcome</w:t>
            </w:r>
          </w:p>
        </w:tc>
        <w:tc>
          <w:tcPr/>
          <w:p>
            <w:pPr>
              <w:pStyle w:val="Compact"/>
              <w:jc w:val="center"/>
            </w:pPr>
            <w:r>
              <w:t xml:space="preserve">Mean [95% CI]</w:t>
            </w:r>
          </w:p>
        </w:tc>
        <w:tc>
          <w:tcPr/>
          <w:p>
            <w:pPr>
              <w:pStyle w:val="Compact"/>
              <w:jc w:val="center"/>
            </w:pPr>
            <w:r>
              <w:t xml:space="preserve">Positive tasks</w:t>
            </w:r>
          </w:p>
        </w:tc>
      </w:tr>
      <w:tr>
        <w:tc>
          <w:tcPr/>
          <w:p>
            <w:pPr>
              <w:pStyle w:val="Compact"/>
              <w:jc w:val="left"/>
            </w:pPr>
            <w:r>
              <w:t xml:space="preserve">Self recomputation</w:t>
            </w:r>
          </w:p>
        </w:tc>
        <w:tc>
          <w:tcPr/>
          <w:p>
            <w:pPr>
              <w:pStyle w:val="Compact"/>
              <w:jc w:val="left"/>
            </w:pPr>
            <w:r>
              <w:t xml:space="preserve">Action</w:t>
            </w:r>
          </w:p>
        </w:tc>
        <w:tc>
          <w:tcPr/>
          <w:p>
            <w:pPr>
              <w:pStyle w:val="Compact"/>
              <w:jc w:val="center"/>
            </w:pPr>
            <w:r>
              <w:t xml:space="preserve">0.499 [0.336, 0.679]</w:t>
            </w:r>
          </w:p>
        </w:tc>
        <w:tc>
          <w:tcPr/>
          <w:p>
            <w:pPr>
              <w:pStyle w:val="Compact"/>
              <w:jc w:val="center"/>
            </w:pPr>
            <w:r>
              <w:t xml:space="preserve">10/10</w:t>
            </w:r>
          </w:p>
        </w:tc>
      </w:tr>
      <w:tr>
        <w:tc>
          <w:tcPr/>
          <w:p>
            <w:pPr>
              <w:pStyle w:val="Compact"/>
              <w:jc w:val="left"/>
            </w:pPr>
            <w:r>
              <w:t xml:space="preserve">Self recomputation</w:t>
            </w:r>
          </w:p>
        </w:tc>
        <w:tc>
          <w:tcPr/>
          <w:p>
            <w:pPr>
              <w:pStyle w:val="Compact"/>
              <w:jc w:val="left"/>
            </w:pPr>
            <w:r>
              <w:t xml:space="preserve">Endpoint</w:t>
            </w:r>
          </w:p>
        </w:tc>
        <w:tc>
          <w:tcPr/>
          <w:p>
            <w:pPr>
              <w:pStyle w:val="Compact"/>
              <w:jc w:val="center"/>
            </w:pPr>
            <w:r>
              <w:t xml:space="preserve">0.552 [0.387, 0.728]</w:t>
            </w:r>
          </w:p>
        </w:tc>
        <w:tc>
          <w:tcPr/>
          <w:p>
            <w:pPr>
              <w:pStyle w:val="Compact"/>
              <w:jc w:val="center"/>
            </w:pPr>
            <w:r>
              <w:t xml:space="preserve">10/10</w:t>
            </w:r>
          </w:p>
        </w:tc>
      </w:tr>
      <w:tr>
        <w:tc>
          <w:tcPr/>
          <w:p>
            <w:pPr>
              <w:pStyle w:val="Compact"/>
              <w:jc w:val="left"/>
            </w:pPr>
            <w:r>
              <w:t xml:space="preserve">Matched Gaussian</w:t>
            </w:r>
          </w:p>
        </w:tc>
        <w:tc>
          <w:tcPr/>
          <w:p>
            <w:pPr>
              <w:pStyle w:val="Compact"/>
              <w:jc w:val="left"/>
            </w:pPr>
            <w:r>
              <w:t xml:space="preserve">Action</w:t>
            </w:r>
          </w:p>
        </w:tc>
        <w:tc>
          <w:tcPr/>
          <w:p>
            <w:pPr>
              <w:pStyle w:val="Compact"/>
              <w:jc w:val="center"/>
            </w:pPr>
            <w:r>
              <w:t xml:space="preserve">0.497 [0.334, 0.679]</w:t>
            </w:r>
          </w:p>
        </w:tc>
        <w:tc>
          <w:tcPr/>
          <w:p>
            <w:pPr>
              <w:pStyle w:val="Compact"/>
              <w:jc w:val="center"/>
            </w:pPr>
            <w:r>
              <w:t xml:space="preserve">10/10</w:t>
            </w:r>
          </w:p>
        </w:tc>
      </w:tr>
      <w:tr>
        <w:tc>
          <w:tcPr/>
          <w:p>
            <w:pPr>
              <w:pStyle w:val="Compact"/>
              <w:jc w:val="left"/>
            </w:pPr>
            <w:r>
              <w:t xml:space="preserve">Matched Gaussian</w:t>
            </w:r>
          </w:p>
        </w:tc>
        <w:tc>
          <w:tcPr/>
          <w:p>
            <w:pPr>
              <w:pStyle w:val="Compact"/>
              <w:jc w:val="left"/>
            </w:pPr>
            <w:r>
              <w:t xml:space="preserve">Endpoint</w:t>
            </w:r>
          </w:p>
        </w:tc>
        <w:tc>
          <w:tcPr/>
          <w:p>
            <w:pPr>
              <w:pStyle w:val="Compact"/>
              <w:jc w:val="center"/>
            </w:pPr>
            <w:r>
              <w:t xml:space="preserve">0.549 [0.383, 0.728]</w:t>
            </w:r>
          </w:p>
        </w:tc>
        <w:tc>
          <w:tcPr/>
          <w:p>
            <w:pPr>
              <w:pStyle w:val="Compact"/>
              <w:jc w:val="center"/>
            </w:pPr>
            <w:r>
              <w:t xml:space="preserve">10/10</w:t>
            </w:r>
          </w:p>
        </w:tc>
      </w:tr>
      <w:tr>
        <w:tc>
          <w:tcPr/>
          <w:p>
            <w:pPr>
              <w:pStyle w:val="Compact"/>
              <w:jc w:val="left"/>
            </w:pPr>
            <w:r>
              <w:t xml:space="preserve">Natural future</w:t>
            </w:r>
          </w:p>
        </w:tc>
        <w:tc>
          <w:tcPr/>
          <w:p>
            <w:pPr>
              <w:pStyle w:val="Compact"/>
              <w:jc w:val="left"/>
            </w:pPr>
            <w:r>
              <w:t xml:space="preserve">Action</w:t>
            </w:r>
          </w:p>
        </w:tc>
        <w:tc>
          <w:tcPr/>
          <w:p>
            <w:pPr>
              <w:pStyle w:val="Compact"/>
              <w:jc w:val="center"/>
            </w:pPr>
            <w:r>
              <w:t xml:space="preserve">0.103 [0.048, 0.161]</w:t>
            </w:r>
          </w:p>
        </w:tc>
        <w:tc>
          <w:tcPr/>
          <w:p>
            <w:pPr>
              <w:pStyle w:val="Compact"/>
              <w:jc w:val="center"/>
            </w:pPr>
            <w:r>
              <w:t xml:space="preserve">8/10</w:t>
            </w:r>
          </w:p>
        </w:tc>
      </w:tr>
      <w:tr>
        <w:tc>
          <w:tcPr/>
          <w:p>
            <w:pPr>
              <w:pStyle w:val="Compact"/>
              <w:jc w:val="left"/>
            </w:pPr>
            <w:r>
              <w:t xml:space="preserve">Natural future</w:t>
            </w:r>
          </w:p>
        </w:tc>
        <w:tc>
          <w:tcPr/>
          <w:p>
            <w:pPr>
              <w:pStyle w:val="Compact"/>
              <w:jc w:val="left"/>
            </w:pPr>
            <w:r>
              <w:t xml:space="preserve">Endpoint</w:t>
            </w:r>
          </w:p>
        </w:tc>
        <w:tc>
          <w:tcPr/>
          <w:p>
            <w:pPr>
              <w:pStyle w:val="Compact"/>
              <w:jc w:val="center"/>
            </w:pPr>
            <w:r>
              <w:t xml:space="preserve">0.110 [0.054, 0.166]</w:t>
            </w:r>
          </w:p>
        </w:tc>
        <w:tc>
          <w:tcPr/>
          <w:p>
            <w:pPr>
              <w:pStyle w:val="Compact"/>
              <w:jc w:val="center"/>
            </w:pPr>
            <w:r>
              <w:t xml:space="preserve">8/10</w:t>
            </w:r>
          </w:p>
        </w:tc>
      </w:tr>
      <w:tr>
        <w:tc>
          <w:tcPr/>
          <w:p>
            <w:pPr>
              <w:pStyle w:val="Compact"/>
              <w:jc w:val="left"/>
            </w:pPr>
            <w:r>
              <w:t xml:space="preserve">Shuffled future</w:t>
            </w:r>
          </w:p>
        </w:tc>
        <w:tc>
          <w:tcPr/>
          <w:p>
            <w:pPr>
              <w:pStyle w:val="Compact"/>
              <w:jc w:val="left"/>
            </w:pPr>
            <w:r>
              <w:t xml:space="preserve">Action</w:t>
            </w:r>
          </w:p>
        </w:tc>
        <w:tc>
          <w:tcPr/>
          <w:p>
            <w:pPr>
              <w:pStyle w:val="Compact"/>
              <w:jc w:val="center"/>
            </w:pPr>
            <w:r>
              <w:t xml:space="preserve">0.255 [0.180, 0.338]</w:t>
            </w:r>
          </w:p>
        </w:tc>
        <w:tc>
          <w:tcPr/>
          <w:p>
            <w:pPr>
              <w:pStyle w:val="Compact"/>
              <w:jc w:val="center"/>
            </w:pPr>
            <w:r>
              <w:t xml:space="preserve">10/10</w:t>
            </w:r>
          </w:p>
        </w:tc>
      </w:tr>
      <w:tr>
        <w:tc>
          <w:tcPr/>
          <w:p>
            <w:pPr>
              <w:pStyle w:val="Compact"/>
              <w:jc w:val="left"/>
            </w:pPr>
            <w:r>
              <w:t xml:space="preserve">Shuffled future</w:t>
            </w:r>
          </w:p>
        </w:tc>
        <w:tc>
          <w:tcPr/>
          <w:p>
            <w:pPr>
              <w:pStyle w:val="Compact"/>
              <w:jc w:val="left"/>
            </w:pPr>
            <w:r>
              <w:t xml:space="preserve">Endpoint</w:t>
            </w:r>
          </w:p>
        </w:tc>
        <w:tc>
          <w:tcPr/>
          <w:p>
            <w:pPr>
              <w:pStyle w:val="Compact"/>
              <w:jc w:val="center"/>
            </w:pPr>
            <w:r>
              <w:t xml:space="preserve">0.277 [0.199, 0.357]</w:t>
            </w:r>
          </w:p>
        </w:tc>
        <w:tc>
          <w:tcPr/>
          <w:p>
            <w:pPr>
              <w:pStyle w:val="Compact"/>
              <w:jc w:val="center"/>
            </w:pPr>
            <w:r>
              <w:t xml:space="preserve">10/10</w:t>
            </w:r>
          </w:p>
        </w:tc>
      </w:tr>
    </w:tbl>
    <w:bookmarkEnd w:id="27"/>
    <w:bookmarkStart w:id="31" w:name="fig:policy"/>
    <w:p>
      <w:pPr>
        <w:pStyle w:val="CaptionedFigure"/>
      </w:pPr>
      <w:r>
        <w:drawing>
          <wp:inline>
            <wp:extent cx="5334000" cy="1882405"/>
            <wp:effectExtent b="0" l="0" r="0" t="0"/>
            <wp:docPr descr="" title="" id="29" name="Picture"/>
            <a:graphic>
              <a:graphicData uri="http://schemas.openxmlformats.org/drawingml/2006/picture">
                <pic:pic>
                  <pic:nvPicPr>
                    <pic:cNvPr descr="figures/directionality_results.png" id="30" name="Picture"/>
                    <pic:cNvPicPr>
                      <a:picLocks noChangeArrowheads="1" noChangeAspect="1"/>
                    </pic:cNvPicPr>
                  </pic:nvPicPr>
                  <pic:blipFill>
                    <a:blip r:embed="rId28"/>
                    <a:stretch>
                      <a:fillRect/>
                    </a:stretch>
                  </pic:blipFill>
                  <pic:spPr bwMode="auto">
                    <a:xfrm>
                      <a:off x="0" y="0"/>
                      <a:ext cx="5334000" cy="1882405"/>
                    </a:xfrm>
                    <a:prstGeom prst="rect">
                      <a:avLst/>
                    </a:prstGeom>
                    <a:noFill/>
                    <a:ln w="9525">
                      <a:noFill/>
                      <a:headEnd/>
                      <a:tailEnd/>
                    </a:ln>
                  </pic:spPr>
                </pic:pic>
              </a:graphicData>
            </a:graphic>
          </wp:inline>
        </w:drawing>
      </w:r>
    </w:p>
    <w:p>
      <w:pPr>
        <w:pStyle w:val="ImageCaption"/>
      </w:pPr>
      <w:r>
        <w:t xml:space="preserve">Cosmos Policy estimates. (a) Donor-minus-self action and endpoint projection at three separately sampled state indices. (b) First-query donor-minus-control contrasts; circles denote actions and squares denote endpoints. (c) First-query action steering when only one future modality is replaced. Points are means and bars are 95% task-bootstrap intervals. Vertical dashed lines mark the prespecified</w:t>
      </w:r>
      <w:r>
        <w:t xml:space="preserve"> </w:t>
      </w:r>
      <m:oMath>
        <m:r>
          <m:t>0.10</m:t>
        </m:r>
      </m:oMath>
      <w:r>
        <w:t xml:space="preserve"> </w:t>
      </w:r>
      <w:r>
        <w:t xml:space="preserve">smallest effect of interest.</w:t>
      </w:r>
    </w:p>
    <w:bookmarkEnd w:id="31"/>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2"/>
    <w:bookmarkEnd w:id="33"/>
    <w:bookmarkStart w:id="37"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4"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4"/>
    <w:bookmarkStart w:id="36"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content">
        <w:r>
          <w:rPr>
            <w:rStyle w:val="Hyperlink"/>
          </w:rPr>
          <w:t xml:space="preserve">3</w:t>
        </w:r>
      </w:hyperlink>
      <w:r>
        <w:t xml:space="preserve">; Figure </w:t>
      </w:r>
      <w:hyperlink w:anchor="fig:cosmos3">
        <w:r>
          <w:rPr>
            <w:rStyle w:val="Hyperlink"/>
          </w:rPr>
          <w:t xml:space="preserve">3</w:t>
        </w:r>
      </w:hyperlink>
      <w:r>
        <w:t xml:space="preserve">c).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Start w:id="35" w:name="tab:content"/>
    <w:p>
      <w:pPr>
        <w:pStyle w:val="TableCaption"/>
      </w:pPr>
      <w:r>
        <w:t xml:space="preserve">Cosmos 3 isolated content factors across ten states. Each row is a main effect in the disjoint</w:t>
      </w:r>
      <w:r>
        <w:t xml:space="preserve"> </w:t>
      </w:r>
      <m:oMath>
        <m:r>
          <m:t>2</m:t>
        </m:r>
        <m:r>
          <m:rPr>
            <m:sty m:val="p"/>
          </m:rPr>
          <m:t>×</m:t>
        </m:r>
        <m:r>
          <m:t>2</m:t>
        </m:r>
      </m:oMath>
      <w:r>
        <w:t xml:space="preserve"> </w:t>
      </w:r>
      <w:r>
        <w:t xml:space="preserve">pixel transplant. Every 95% state-bootstrap CI is contained within the prespecified equivalence region.</w:t>
      </w:r>
    </w:p>
    <w:tbl>
      <w:tblPr>
        <w:tblStyle w:val="Table"/>
        <w:tblW w:type="auto" w:w="0"/>
        <w:tblLook w:firstRow="1" w:lastRow="0" w:firstColumn="0" w:lastColumn="0" w:noHBand="0" w:noVBand="0" w:val="0020"/>
        <w:tblCaption w:val="Cosmos 3 isolated content factors across ten states. Each row is a main effect in the disjoint 2\times2 pixel transplant. Every 95% state-bootstrap CI is contained within the prespecified equivalence region."/>
      </w:tblPr>
      <w:tblGrid>
        <w:gridCol w:w="1980"/>
        <w:gridCol w:w="1980"/>
        <w:gridCol w:w="1980"/>
        <w:gridCol w:w="1980"/>
      </w:tblGrid>
      <w:tr>
        <w:trPr>
          <w:tblHeader w:val="on"/>
        </w:trPr>
        <w:tc>
          <w:tcPr/>
          <w:p>
            <w:pPr>
              <w:pStyle w:val="Compact"/>
              <w:jc w:val="left"/>
            </w:pPr>
            <w:r>
              <w:t xml:space="preserve">Factor</w:t>
            </w:r>
          </w:p>
        </w:tc>
        <w:tc>
          <w:tcPr/>
          <w:p>
            <w:pPr>
              <w:pStyle w:val="Compact"/>
              <w:jc w:val="left"/>
            </w:pPr>
            <w:r>
              <w:t xml:space="preserve">Outcome</w:t>
            </w:r>
          </w:p>
        </w:tc>
        <w:tc>
          <w:tcPr/>
          <w:p>
            <w:pPr>
              <w:pStyle w:val="Compact"/>
              <w:jc w:val="center"/>
            </w:pPr>
            <w:r>
              <w:t xml:space="preserve">Effect [95% CI]</w:t>
            </w:r>
          </w:p>
        </w:tc>
        <w:tc>
          <w:tcPr/>
          <w:p>
            <w:pPr>
              <w:pStyle w:val="Compact"/>
              <w:jc w:val="center"/>
            </w:pPr>
            <w:r>
              <w:t xml:space="preserve">Equivalent to zero</w:t>
            </w:r>
          </w:p>
        </w:tc>
      </w:tr>
      <w:tr>
        <w:tc>
          <w:tcPr/>
          <w:p>
            <w:pPr>
              <w:pStyle w:val="Compact"/>
              <w:jc w:val="left"/>
            </w:pPr>
            <w:r>
              <w:t xml:space="preserve">Robot pixels</w:t>
            </w:r>
          </w:p>
        </w:tc>
        <w:tc>
          <w:tcPr/>
          <w:p>
            <w:pPr>
              <w:pStyle w:val="Compact"/>
              <w:jc w:val="left"/>
            </w:pPr>
            <w:r>
              <w:t xml:space="preserve">Action</w:t>
            </w:r>
          </w:p>
        </w:tc>
        <w:tc>
          <w:tcPr/>
          <w:p>
            <w:pPr>
              <w:pStyle w:val="Compact"/>
              <w:jc w:val="center"/>
            </w:pPr>
            <w:r>
              <w:t xml:space="preserve">0.0022 [</w:t>
            </w:r>
            <m:oMath>
              <m:r>
                <m:rPr>
                  <m:sty m:val="p"/>
                </m:rPr>
                <m:t>−</m:t>
              </m:r>
              <m:r>
                <m:t>0.0016</m:t>
              </m:r>
            </m:oMath>
            <w:r>
              <w:t xml:space="preserve">, 0.0060]</w:t>
            </w:r>
          </w:p>
        </w:tc>
        <w:tc>
          <w:tcPr/>
          <w:p>
            <w:pPr>
              <w:pStyle w:val="Compact"/>
              <w:jc w:val="center"/>
            </w:pPr>
            <w:r>
              <w:t xml:space="preserve">Yes</w:t>
            </w:r>
          </w:p>
        </w:tc>
      </w:tr>
      <w:tr>
        <w:tc>
          <w:tcPr/>
          <w:p>
            <w:pPr>
              <w:pStyle w:val="Compact"/>
              <w:jc w:val="left"/>
            </w:pPr>
            <w:r>
              <w:t xml:space="preserve">Robot pixels</w:t>
            </w:r>
          </w:p>
        </w:tc>
        <w:tc>
          <w:tcPr/>
          <w:p>
            <w:pPr>
              <w:pStyle w:val="Compact"/>
              <w:jc w:val="left"/>
            </w:pPr>
            <w:r>
              <w:t xml:space="preserve">Endpoint</w:t>
            </w:r>
          </w:p>
        </w:tc>
        <w:tc>
          <w:tcPr/>
          <w:p>
            <w:pPr>
              <w:pStyle w:val="Compact"/>
              <w:jc w:val="center"/>
            </w:pPr>
            <w:r>
              <w:t xml:space="preserve">0.0102 [</w:t>
            </w:r>
            <m:oMath>
              <m:r>
                <m:rPr>
                  <m:sty m:val="p"/>
                </m:rPr>
                <m:t>−</m:t>
              </m:r>
              <m:r>
                <m:t>0.0067</m:t>
              </m:r>
            </m:oMath>
            <w:r>
              <w:t xml:space="preserve">, 0.0275]</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Action</w:t>
            </w:r>
          </w:p>
        </w:tc>
        <w:tc>
          <w:tcPr/>
          <w:p>
            <w:pPr>
              <w:pStyle w:val="Compact"/>
              <w:jc w:val="center"/>
            </w:pPr>
            <w:r>
              <w:t xml:space="preserve">0.0061 [0.0009, 0.0119]</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Endpoint</w:t>
            </w:r>
          </w:p>
        </w:tc>
        <w:tc>
          <w:tcPr/>
          <w:p>
            <w:pPr>
              <w:pStyle w:val="Compact"/>
              <w:jc w:val="center"/>
            </w:pPr>
            <m:oMath>
              <m:r>
                <m:rPr>
                  <m:sty m:val="p"/>
                </m:rPr>
                <m:t>−</m:t>
              </m:r>
              <m:r>
                <m:t>0.0001</m:t>
              </m:r>
            </m:oMath>
            <w:r>
              <w:t xml:space="preserve"> </w:t>
            </w:r>
            <w:r>
              <w:t xml:space="preserve">[</w:t>
            </w:r>
            <m:oMath>
              <m:r>
                <m:rPr>
                  <m:sty m:val="p"/>
                </m:rPr>
                <m:t>−</m:t>
              </m:r>
              <m:r>
                <m:t>0.0254</m:t>
              </m:r>
            </m:oMath>
            <w:r>
              <w:t xml:space="preserve">, 0.0239]</w:t>
            </w:r>
          </w:p>
        </w:tc>
        <w:tc>
          <w:tcPr/>
          <w:p>
            <w:pPr>
              <w:pStyle w:val="Compact"/>
              <w:jc w:val="center"/>
            </w:pPr>
            <w:r>
              <w:t xml:space="preserve">Yes</w:t>
            </w:r>
          </w:p>
        </w:tc>
      </w:tr>
    </w:tbl>
    <w:bookmarkEnd w:id="35"/>
    <w:bookmarkEnd w:id="36"/>
    <w:bookmarkEnd w:id="37"/>
    <w:bookmarkStart w:id="45"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8"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8"/>
    <w:bookmarkStart w:id="44"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pathway">
        <w:r>
          <w:rPr>
            <w:rStyle w:val="Hyperlink"/>
          </w:rPr>
          <w:t xml:space="preserve">4</w:t>
        </w:r>
      </w:hyperlink>
      <w:r>
        <w:t xml:space="preserve">).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9" w:name="tab:pathway"/>
    <w:p>
      <w:pPr>
        <w:pStyle w:val="TableCaption"/>
      </w:pPr>
      <w:r>
        <w:t xml:space="preserve">Cosmos 3 future-token pathway across 22 states. Each unpatched donor-minus-self effect is shown beside the reduction caused by replacing donor-future K/V with self-future K/V.</w:t>
      </w:r>
      <w:r>
        <w:t xml:space="preserve"> </w:t>
      </w:r>
      <w:r>
        <w:t xml:space="preserve">“Removed”</w:t>
      </w:r>
      <w:r>
        <w:t xml:space="preserve"> </w:t>
      </w:r>
      <w:r>
        <w:t xml:space="preserve">is the ratio of point estimates, not an independently estimated mediation proportion.</w:t>
      </w:r>
    </w:p>
    <w:tbl>
      <w:tblPr>
        <w:tblStyle w:val="Table"/>
        <w:tblW w:type="auto" w:w="0"/>
        <w:tblLook w:firstRow="1" w:lastRow="0" w:firstColumn="0" w:lastColumn="0" w:noHBand="0" w:noVBand="0" w:val="0020"/>
        <w:tblCaption w:val="Cosmos 3 future-token pathway across 22 states. Each unpatched donor-minus-self effect is shown beside the reduction caused by replacing donor-future K/V with self-future K/V. “Removed” is the ratio of point estimates, not an independently estimated mediation proportion."/>
      </w:tblPr>
      <w:tblGrid>
        <w:gridCol w:w="1980"/>
        <w:gridCol w:w="1980"/>
        <w:gridCol w:w="1980"/>
        <w:gridCol w:w="1980"/>
      </w:tblGrid>
      <w:tr>
        <w:trPr>
          <w:tblHeader w:val="on"/>
        </w:trPr>
        <w:tc>
          <w:tcPr/>
          <w:p>
            <w:pPr>
              <w:pStyle w:val="Compact"/>
              <w:jc w:val="left"/>
            </w:pPr>
            <w:r>
              <w:t xml:space="preserve">Outcome</w:t>
            </w:r>
          </w:p>
        </w:tc>
        <w:tc>
          <w:tcPr/>
          <w:p>
            <w:pPr>
              <w:pStyle w:val="Compact"/>
              <w:jc w:val="center"/>
            </w:pPr>
            <w:r>
              <w:t xml:space="preserve">Unpatched steering</w:t>
            </w:r>
          </w:p>
        </w:tc>
        <w:tc>
          <w:tcPr/>
          <w:p>
            <w:pPr>
              <w:pStyle w:val="Compact"/>
              <w:jc w:val="center"/>
            </w:pPr>
            <w:r>
              <w:t xml:space="preserve">K/V replacement loss</w:t>
            </w:r>
          </w:p>
        </w:tc>
        <w:tc>
          <w:tcPr/>
          <w:p>
            <w:pPr>
              <w:pStyle w:val="Compact"/>
              <w:jc w:val="center"/>
            </w:pPr>
            <w:r>
              <w:t xml:space="preserve">Point estimate removed</w:t>
            </w:r>
          </w:p>
        </w:tc>
      </w:tr>
      <w:tr>
        <w:tc>
          <w:tcPr/>
          <w:p>
            <w:pPr>
              <w:pStyle w:val="Compact"/>
              <w:jc w:val="left"/>
            </w:pPr>
            <w:r>
              <w:t xml:space="preserve">Predicted action</w:t>
            </w:r>
          </w:p>
        </w:tc>
        <w:tc>
          <w:tcPr/>
          <w:p>
            <w:pPr>
              <w:pStyle w:val="Compact"/>
              <w:jc w:val="center"/>
            </w:pPr>
            <w:r>
              <w:t xml:space="preserve">0.992 [0.972, 1.010]</w:t>
            </w:r>
          </w:p>
        </w:tc>
        <w:tc>
          <w:tcPr/>
          <w:p>
            <w:pPr>
              <w:pStyle w:val="Compact"/>
              <w:jc w:val="center"/>
            </w:pPr>
            <w:r>
              <w:t xml:space="preserve">0.877 [0.842, 0.910]</w:t>
            </w:r>
          </w:p>
        </w:tc>
        <w:tc>
          <w:tcPr/>
          <w:p>
            <w:pPr>
              <w:pStyle w:val="Compact"/>
              <w:jc w:val="center"/>
            </w:pPr>
            <w:r>
              <w:t xml:space="preserve">88%</w:t>
            </w:r>
          </w:p>
        </w:tc>
      </w:tr>
      <w:tr>
        <w:tc>
          <w:tcPr/>
          <w:p>
            <w:pPr>
              <w:pStyle w:val="Compact"/>
              <w:jc w:val="left"/>
            </w:pPr>
            <w:r>
              <w:t xml:space="preserve">Executed action</w:t>
            </w:r>
          </w:p>
        </w:tc>
        <w:tc>
          <w:tcPr/>
          <w:p>
            <w:pPr>
              <w:pStyle w:val="Compact"/>
              <w:jc w:val="center"/>
            </w:pPr>
            <w:r>
              <w:t xml:space="preserve">0.983 [0.890, 1.064]</w:t>
            </w:r>
          </w:p>
        </w:tc>
        <w:tc>
          <w:tcPr/>
          <w:p>
            <w:pPr>
              <w:pStyle w:val="Compact"/>
              <w:jc w:val="center"/>
            </w:pPr>
            <w:r>
              <w:t xml:space="preserve">0.814 [0.723, 0.900]</w:t>
            </w:r>
          </w:p>
        </w:tc>
        <w:tc>
          <w:tcPr/>
          <w:p>
            <w:pPr>
              <w:pStyle w:val="Compact"/>
              <w:jc w:val="center"/>
            </w:pPr>
            <w:r>
              <w:t xml:space="preserve">83%</w:t>
            </w:r>
          </w:p>
        </w:tc>
      </w:tr>
      <w:tr>
        <w:tc>
          <w:tcPr/>
          <w:p>
            <w:pPr>
              <w:pStyle w:val="Compact"/>
              <w:jc w:val="left"/>
            </w:pPr>
            <w:r>
              <w:t xml:space="preserve">Executed endpoint</w:t>
            </w:r>
          </w:p>
        </w:tc>
        <w:tc>
          <w:tcPr/>
          <w:p>
            <w:pPr>
              <w:pStyle w:val="Compact"/>
              <w:jc w:val="center"/>
            </w:pPr>
            <w:r>
              <w:t xml:space="preserve">1.003 [0.950, 1.050]</w:t>
            </w:r>
          </w:p>
        </w:tc>
        <w:tc>
          <w:tcPr/>
          <w:p>
            <w:pPr>
              <w:pStyle w:val="Compact"/>
              <w:jc w:val="center"/>
            </w:pPr>
            <w:r>
              <w:t xml:space="preserve">0.851 [0.766, 0.922]</w:t>
            </w:r>
          </w:p>
        </w:tc>
        <w:tc>
          <w:tcPr/>
          <w:p>
            <w:pPr>
              <w:pStyle w:val="Compact"/>
              <w:jc w:val="center"/>
            </w:pPr>
            <w:r>
              <w:t xml:space="preserve">85%</w:t>
            </w:r>
          </w:p>
        </w:tc>
      </w:tr>
    </w:tbl>
    <w:bookmarkEnd w:id="39"/>
    <w:bookmarkStart w:id="43" w:name="fig:cosmos3"/>
    <w:p>
      <w:pPr>
        <w:pStyle w:val="CaptionedFigure"/>
      </w:pPr>
      <w:r>
        <w:drawing>
          <wp:inline>
            <wp:extent cx="5334000" cy="1686321"/>
            <wp:effectExtent b="0" l="0" r="0" t="0"/>
            <wp:docPr descr="" title="" id="41" name="Picture"/>
            <a:graphic>
              <a:graphicData uri="http://schemas.openxmlformats.org/drawingml/2006/picture">
                <pic:pic>
                  <pic:nvPicPr>
                    <pic:cNvPr descr="figures/pathway_results.png" id="42" name="Picture"/>
                    <pic:cNvPicPr>
                      <a:picLocks noChangeArrowheads="1" noChangeAspect="1"/>
                    </pic:cNvPicPr>
                  </pic:nvPicPr>
                  <pic:blipFill>
                    <a:blip r:embed="rId40"/>
                    <a:stretch>
                      <a:fillRect/>
                    </a:stretch>
                  </pic:blipFill>
                  <pic:spPr bwMode="auto">
                    <a:xfrm>
                      <a:off x="0" y="0"/>
                      <a:ext cx="5334000" cy="1686321"/>
                    </a:xfrm>
                    <a:prstGeom prst="rect">
                      <a:avLst/>
                    </a:prstGeom>
                    <a:noFill/>
                    <a:ln w="9525">
                      <a:noFill/>
                      <a:headEnd/>
                      <a:tailEnd/>
                    </a:ln>
                  </pic:spPr>
                </pic:pic>
              </a:graphicData>
            </a:graphic>
          </wp:inline>
        </w:drawing>
      </w:r>
    </w:p>
    <w:p>
      <w:pPr>
        <w:pStyle w:val="ImageCaption"/>
      </w:pPr>
      <w:r>
        <w:t xml:space="preserve">Cosmos 3 estimates. (a) Donor-minus-comparator steering; every row names its outcome and comparator. Points are means and bars are 95% state-bootstrap intervals. (b) Outlined bars are unpatched donor-minus-self steering; filled bars are the amount removed by self-future K/V replacement, with labels giving the ratio of point estimates. (c) Isolated robot- and object-pixel effects; the shaded band is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w:t>
      </w:r>
    </w:p>
    <w:bookmarkEnd w:id="43"/>
    <w:bookmarkEnd w:id="44"/>
    <w:bookmarkEnd w:id="45"/>
    <w:bookmarkEnd w:id="46"/>
    <w:bookmarkStart w:id="49"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7"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7"/>
    <w:bookmarkStart w:id="48"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8"/>
    <w:bookmarkEnd w:id="49"/>
    <w:bookmarkStart w:id="50"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50"/>
    <w:bookmarkStart w:id="51"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51"/>
    <w:bookmarkStart w:id="52"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End w:id="52"/>
    <w:bookmarkStart w:id="105" w:name="neurips-paper-checklist"/>
    <w:p>
      <w:pPr>
        <w:pStyle w:val="Heading1"/>
      </w:pPr>
      <w:r>
        <w:t xml:space="preserve">NeurIPS Paper Checklist</w:t>
      </w:r>
    </w:p>
    <w:p>
      <w:pPr>
        <w:numPr>
          <w:ilvl w:val="0"/>
          <w:numId w:val="1001"/>
        </w:numPr>
      </w:pPr>
      <w:r>
        <w:rPr>
          <w:b/>
          <w:bCs/>
        </w:rPr>
        <w:t xml:space="preserve">Claims</w:t>
      </w:r>
    </w:p>
    <w:p>
      <w:pPr>
        <w:numPr>
          <w:ilvl w:val="0"/>
          <w:numId w:val="1001"/>
        </w:numPr>
      </w:pPr>
      <w:r>
        <w:t xml:space="preserve">Question: Do the main claims made in the abstract and introduction accurately reflect the paper’s contributions and scope?</w:t>
      </w:r>
    </w:p>
    <w:p>
      <w:pPr>
        <w:numPr>
          <w:ilvl w:val="0"/>
          <w:numId w:val="1001"/>
        </w:numPr>
      </w:pPr>
      <w:r>
        <w:t xml:space="preserve">Answer:</w:t>
      </w:r>
    </w:p>
    <w:p>
      <w:pPr>
        <w:numPr>
          <w:ilvl w:val="0"/>
          <w:numId w:val="1001"/>
        </w:numPr>
      </w:pPr>
      <w:r>
        <w:t xml:space="preserve">Justification: The abstract, Introduction, Results, and Discussion state the future-transplantation result, its variation across decision points, and the limits on claims about planning and task success.</w:t>
      </w:r>
    </w:p>
    <w:p>
      <w:pPr>
        <w:numPr>
          <w:ilvl w:val="0"/>
          <w:numId w:val="1001"/>
        </w:numPr>
      </w:pPr>
      <w:r>
        <w:t xml:space="preserve">Guidelines:</w:t>
      </w:r>
    </w:p>
    <w:p>
      <w:pPr>
        <w:numPr>
          <w:ilvl w:val="1"/>
          <w:numId w:val="1002"/>
        </w:numPr>
      </w:pPr>
      <w:r>
        <w:t xml:space="preserve">The answer means that the abstract and introduction do not include the claims made in the paper.</w:t>
      </w:r>
    </w:p>
    <w:p>
      <w:pPr>
        <w:numPr>
          <w:ilvl w:val="1"/>
          <w:numId w:val="1002"/>
        </w:numPr>
      </w:pPr>
      <w:r>
        <w:t xml:space="preserve">The abstract and/or introduction should clearly state the claims made, including the contributions made in the paper and important assumptions and limitations. A or answer to this question will not be perceived well by the reviewers.</w:t>
      </w:r>
    </w:p>
    <w:p>
      <w:pPr>
        <w:numPr>
          <w:ilvl w:val="1"/>
          <w:numId w:val="1002"/>
        </w:numPr>
      </w:pPr>
      <w:r>
        <w:t xml:space="preserve">The claims made should match theoretical and experimental results, and reflect how much the results can be expected to generalize to other settings.</w:t>
      </w:r>
    </w:p>
    <w:p>
      <w:pPr>
        <w:numPr>
          <w:ilvl w:val="1"/>
          <w:numId w:val="1002"/>
        </w:numPr>
      </w:pPr>
      <w:r>
        <w:t xml:space="preserve">It is fine to include aspirational goals as motivation as long as it is clear that these goals are not attained by the paper.</w:t>
      </w:r>
    </w:p>
    <w:p>
      <w:pPr>
        <w:numPr>
          <w:ilvl w:val="0"/>
          <w:numId w:val="1001"/>
        </w:numPr>
      </w:pPr>
      <w:r>
        <w:rPr>
          <w:b/>
          <w:bCs/>
        </w:rPr>
        <w:t xml:space="preserve">Limitations</w:t>
      </w:r>
    </w:p>
    <w:p>
      <w:pPr>
        <w:numPr>
          <w:ilvl w:val="0"/>
          <w:numId w:val="1001"/>
        </w:numPr>
      </w:pPr>
      <w:r>
        <w:t xml:space="preserve">Question: Does the paper discuss the limitations of the work performed by the authors?</w:t>
      </w:r>
    </w:p>
    <w:p>
      <w:pPr>
        <w:numPr>
          <w:ilvl w:val="0"/>
          <w:numId w:val="1001"/>
        </w:numPr>
      </w:pPr>
      <w:r>
        <w:t xml:space="preserve">Answer:</w:t>
      </w:r>
    </w:p>
    <w:p>
      <w:pPr>
        <w:numPr>
          <w:ilvl w:val="0"/>
          <w:numId w:val="1001"/>
        </w:numPr>
      </w:pPr>
      <w:r>
        <w:t xml:space="preserve">Justification: Result-specific qualifications appear beside the relevant findings, and the Discussion and Limitations section addresses model and state coverage, the later-state comparison, the factorized object intervention, the internal replacement experiment, and the absence of task-success results.</w:t>
      </w:r>
    </w:p>
    <w:p>
      <w:pPr>
        <w:numPr>
          <w:ilvl w:val="0"/>
          <w:numId w:val="1001"/>
        </w:numPr>
      </w:pPr>
      <w:r>
        <w:t xml:space="preserve">Guidelines:</w:t>
      </w:r>
    </w:p>
    <w:p>
      <w:pPr>
        <w:numPr>
          <w:ilvl w:val="1"/>
          <w:numId w:val="1003"/>
        </w:numPr>
      </w:pPr>
      <w:r>
        <w:t xml:space="preserve">The answer means that the paper has no limitation while the answer means that the paper has limitations, but those are not discussed in the paper.</w:t>
      </w:r>
    </w:p>
    <w:p>
      <w:pPr>
        <w:numPr>
          <w:ilvl w:val="1"/>
          <w:numId w:val="1003"/>
        </w:numPr>
      </w:pPr>
      <w:r>
        <w:t xml:space="preserve">The authors are encouraged to create a separate</w:t>
      </w:r>
      <w:r>
        <w:t xml:space="preserve"> </w:t>
      </w:r>
      <w:r>
        <w:t xml:space="preserve">“Limitations”</w:t>
      </w:r>
      <w:r>
        <w:t xml:space="preserve"> </w:t>
      </w:r>
      <w:r>
        <w:t xml:space="preserve">section in their paper.</w:t>
      </w:r>
    </w:p>
    <w:p>
      <w:pPr>
        <w:numPr>
          <w:ilvl w:val="1"/>
          <w:numId w:val="1003"/>
        </w:numPr>
      </w:pPr>
      <w:r>
        <w:t xml:space="preserve">The paper should point out any strong assumptions and how robust the results are to violations of these assumptions (e.g., independence assumptions, noiseless settings, model well-specification, asymptotic approximations only holding locally). The authors should reflect on how these assumptions might be violated in practice and what the implications would be.</w:t>
      </w:r>
    </w:p>
    <w:p>
      <w:pPr>
        <w:numPr>
          <w:ilvl w:val="1"/>
          <w:numId w:val="1003"/>
        </w:numPr>
      </w:pPr>
      <w:r>
        <w:t xml:space="preserve">The authors should reflect on the scope of the claims made, e.g., if the approach was only tested on a few datasets or with a few runs. In general, empirical results often depend on implicit assumptions, which should be articulated.</w:t>
      </w:r>
    </w:p>
    <w:p>
      <w:pPr>
        <w:numPr>
          <w:ilvl w:val="1"/>
          <w:numId w:val="1003"/>
        </w:numPr>
      </w:pPr>
      <w:r>
        <w:t xml:space="preserve">The authors should reflect on the factors that influence the performance of the approach. For example, a facial recognition algorithm may perform poorly when image resolution is low or images are taken in low lighting. Or a speech-to-text system might not be used reliably to provide closed captions for online lectures because it fails to handle technical jargon.</w:t>
      </w:r>
    </w:p>
    <w:p>
      <w:pPr>
        <w:numPr>
          <w:ilvl w:val="1"/>
          <w:numId w:val="1003"/>
        </w:numPr>
      </w:pPr>
      <w:r>
        <w:t xml:space="preserve">The authors should discuss the computational efficiency of the proposed algorithms and how they scale with dataset size.</w:t>
      </w:r>
    </w:p>
    <w:p>
      <w:pPr>
        <w:numPr>
          <w:ilvl w:val="1"/>
          <w:numId w:val="1003"/>
        </w:numPr>
      </w:pPr>
      <w:r>
        <w:t xml:space="preserve">If applicable, the authors should discuss possible limitations of their approach to address problems of privacy and fairness.</w:t>
      </w:r>
    </w:p>
    <w:p>
      <w:pPr>
        <w:numPr>
          <w:ilvl w:val="1"/>
          <w:numId w:val="1003"/>
        </w:numPr>
      </w:pPr>
      <w:r>
        <w:t xml:space="preserve">While the authors might fear that complete honesty about limitations might be used by reviewers as grounds for rejection, a worse outcome might be that reviewers discover limitations that aren’t acknowledged in the paper. The authors should use their best judgment and recognize that individual actions in favor of transparency play an important role in developing norms that preserve the integrity of the community. Reviewers will be specifically instructed to not penalize honesty concerning limitations.</w:t>
      </w:r>
    </w:p>
    <w:p>
      <w:pPr>
        <w:numPr>
          <w:ilvl w:val="0"/>
          <w:numId w:val="1001"/>
        </w:numPr>
      </w:pPr>
      <w:r>
        <w:rPr>
          <w:b/>
          <w:bCs/>
        </w:rPr>
        <w:t xml:space="preserve">Theory assumptions and proofs</w:t>
      </w:r>
    </w:p>
    <w:p>
      <w:pPr>
        <w:numPr>
          <w:ilvl w:val="0"/>
          <w:numId w:val="1001"/>
        </w:numPr>
      </w:pPr>
      <w:r>
        <w:t xml:space="preserve">Question: For each theoretical result, does the paper provide the full set of assumptions and a complete (and correct) proof?</w:t>
      </w:r>
    </w:p>
    <w:p>
      <w:pPr>
        <w:numPr>
          <w:ilvl w:val="0"/>
          <w:numId w:val="1001"/>
        </w:numPr>
      </w:pPr>
      <w:r>
        <w:t xml:space="preserve">Answer:</w:t>
      </w:r>
    </w:p>
    <w:p>
      <w:pPr>
        <w:numPr>
          <w:ilvl w:val="0"/>
          <w:numId w:val="1001"/>
        </w:numPr>
      </w:pPr>
      <w:r>
        <w:t xml:space="preserve">Justification: The paper reports empirical intervention results and does not claim a theorem or formal proof.</w:t>
      </w:r>
    </w:p>
    <w:p>
      <w:pPr>
        <w:numPr>
          <w:ilvl w:val="0"/>
          <w:numId w:val="1001"/>
        </w:numPr>
      </w:pPr>
      <w:r>
        <w:t xml:space="preserve">Guidelines:</w:t>
      </w:r>
    </w:p>
    <w:p>
      <w:pPr>
        <w:numPr>
          <w:ilvl w:val="1"/>
          <w:numId w:val="1004"/>
        </w:numPr>
      </w:pPr>
      <w:r>
        <w:t xml:space="preserve">The answer means that the paper does not include theoretical results.</w:t>
      </w:r>
    </w:p>
    <w:p>
      <w:pPr>
        <w:numPr>
          <w:ilvl w:val="1"/>
          <w:numId w:val="1004"/>
        </w:numPr>
      </w:pPr>
      <w:r>
        <w:t xml:space="preserve">All the theorems, formulas, and proofs in the paper should be numbered and cross-referenced.</w:t>
      </w:r>
    </w:p>
    <w:p>
      <w:pPr>
        <w:numPr>
          <w:ilvl w:val="1"/>
          <w:numId w:val="1004"/>
        </w:numPr>
      </w:pPr>
      <w:r>
        <w:t xml:space="preserve">All assumptions should be clearly stated or referenced in the statement of any theorems.</w:t>
      </w:r>
    </w:p>
    <w:p>
      <w:pPr>
        <w:numPr>
          <w:ilvl w:val="1"/>
          <w:numId w:val="1004"/>
        </w:numPr>
      </w:pPr>
      <w:r>
        <w:t xml:space="preserve">The proofs can either appear in the main paper or the supplemental material, but if they appear in the supplemental material, the authors are encouraged to provide a short proof sketch to provide intuition.</w:t>
      </w:r>
    </w:p>
    <w:p>
      <w:pPr>
        <w:numPr>
          <w:ilvl w:val="1"/>
          <w:numId w:val="1004"/>
        </w:numPr>
      </w:pPr>
      <w:r>
        <w:t xml:space="preserve">Inversely, any informal proof provided in the core of the paper should be complemented by formal proofs provided in appendix or supplemental material.</w:t>
      </w:r>
    </w:p>
    <w:p>
      <w:pPr>
        <w:numPr>
          <w:ilvl w:val="1"/>
          <w:numId w:val="1004"/>
        </w:numPr>
      </w:pPr>
      <w:r>
        <w:t xml:space="preserve">Theorems and Lemmas that the proof relies upon should be properly referenced.</w:t>
      </w:r>
    </w:p>
    <w:p>
      <w:pPr>
        <w:numPr>
          <w:ilvl w:val="0"/>
          <w:numId w:val="1001"/>
        </w:numPr>
      </w:pPr>
      <w:r>
        <w:rPr>
          <w:b/>
          <w:bCs/>
        </w:rPr>
        <w:t xml:space="preserve">Experimental result reproducibility</w:t>
      </w:r>
    </w:p>
    <w:p>
      <w:pPr>
        <w:numPr>
          <w:ilvl w:val="0"/>
          <w:numId w:val="1001"/>
        </w:numPr>
      </w:pPr>
      <w:r>
        <w:t xml:space="preserve">Question: Does the paper fully disclose all the information needed to reproduce the main experimental results of the paper to the extent that it affects the main claims and/or conclusions of the paper (regardless of whether the code and data are provided or not)?</w:t>
      </w:r>
    </w:p>
    <w:p>
      <w:pPr>
        <w:numPr>
          <w:ilvl w:val="0"/>
          <w:numId w:val="1001"/>
        </w:numPr>
      </w:pPr>
      <w:r>
        <w:t xml:space="preserve">Answer:</w:t>
      </w:r>
    </w:p>
    <w:p>
      <w:pPr>
        <w:numPr>
          <w:ilvl w:val="0"/>
          <w:numId w:val="1001"/>
        </w:numPr>
      </w:pPr>
      <w:r>
        <w:t xml:space="preserve">Justification: The Methods, Results, and Appendix A specify the estimands, experimental units, controls, clustering, public checkpoints, and exactness gates. The complete seed list, all repository hashes and container digests, intervention code, and run logs are not yet included.</w:t>
      </w:r>
    </w:p>
    <w:p>
      <w:pPr>
        <w:numPr>
          <w:ilvl w:val="0"/>
          <w:numId w:val="1001"/>
        </w:numPr>
      </w:pPr>
      <w:r>
        <w:t xml:space="preserve">Guidelines:</w:t>
      </w:r>
    </w:p>
    <w:p>
      <w:pPr>
        <w:numPr>
          <w:ilvl w:val="1"/>
          <w:numId w:val="1005"/>
        </w:numPr>
      </w:pPr>
      <w:r>
        <w:t xml:space="preserve">The answer means that the paper does not include experiments.</w:t>
      </w:r>
    </w:p>
    <w:p>
      <w:pPr>
        <w:numPr>
          <w:ilvl w:val="1"/>
          <w:numId w:val="1005"/>
        </w:numPr>
      </w:pPr>
      <w:r>
        <w:t xml:space="preserve">If the paper includes experiments, a answer to this question will not be perceived well by the reviewers: Making the paper reproducible is important, regardless of whether the code and data are provided or not.</w:t>
      </w:r>
    </w:p>
    <w:p>
      <w:pPr>
        <w:numPr>
          <w:ilvl w:val="1"/>
          <w:numId w:val="1005"/>
        </w:numPr>
      </w:pPr>
      <w:r>
        <w:t xml:space="preserve">If the contribution is a dataset and/or model, the authors should describe the steps taken to make their results reproducible or verifiable.</w:t>
      </w:r>
    </w:p>
    <w:p>
      <w:pPr>
        <w:numPr>
          <w:ilvl w:val="1"/>
          <w:numId w:val="1005"/>
        </w:numPr>
      </w:pPr>
      <w:r>
        <w:t xml:space="preserve">Depending on the contribution, reproducibility can be accomplished in various ways. For example, if the contribution is a novel architecture, describing the architecture fully might suffice, or if the contribution is a specific model and empirical evaluation, it may be necessary to either make it possible for others to replicate the model with the same dataset, or provide access to the model. In general. releasing code and data is often one good way to accomplish this, but reproducibility can also be provided via detailed instructions for how to replicate the results, access to a hosted model (e.g., in the case of a large language model), releasing of a model checkpoint, or other means that are appropriate to the research performed.</w:t>
      </w:r>
    </w:p>
    <w:p>
      <w:pPr>
        <w:numPr>
          <w:ilvl w:val="1"/>
          <w:numId w:val="1005"/>
        </w:numPr>
      </w:pPr>
      <w:r>
        <w:t xml:space="preserve">While NeurIPS does not require releasing code, the conference does require all submissions to provide some reasonable avenue for reproducibility, which may depend on the nature of the contribution. For example</w:t>
      </w:r>
    </w:p>
    <w:p>
      <w:pPr>
        <w:numPr>
          <w:ilvl w:val="2"/>
          <w:numId w:val="1006"/>
        </w:numPr>
      </w:pPr>
      <w:r>
        <w:t xml:space="preserve">If the contribution is primarily a new algorithm, the paper should make it clear how to reproduce that algorithm.</w:t>
      </w:r>
    </w:p>
    <w:p>
      <w:pPr>
        <w:numPr>
          <w:ilvl w:val="2"/>
          <w:numId w:val="1006"/>
        </w:numPr>
      </w:pPr>
      <w:r>
        <w:t xml:space="preserve">If the contribution is primarily a new model architecture, the paper should describe the architecture clearly and fully.</w:t>
      </w:r>
    </w:p>
    <w:p>
      <w:pPr>
        <w:numPr>
          <w:ilvl w:val="2"/>
          <w:numId w:val="1006"/>
        </w:numPr>
      </w:pPr>
      <w:r>
        <w:t xml:space="preserve">If the contribution is a new model (e.g., a large language model), then there should either be a way to access this model for reproducing the results or a way to reproduce the model (e.g., with an open-source dataset or instructions for how to construct the dataset).</w:t>
      </w:r>
    </w:p>
    <w:p>
      <w:pPr>
        <w:numPr>
          <w:ilvl w:val="2"/>
          <w:numId w:val="1006"/>
        </w:numPr>
      </w:pPr>
      <w:r>
        <w:t xml:space="preserve">We recognize that reproducibility may be tricky in some cases, in which case authors are welcome to describe the particular way they provide for reproducibility. In the case of closed-source models, it may be that access to the model is limited in some way (e.g., to registered users), but it should be possible for other researchers to have some path to reproducing or verifying the results.</w:t>
      </w:r>
    </w:p>
    <w:p>
      <w:pPr>
        <w:numPr>
          <w:ilvl w:val="0"/>
          <w:numId w:val="1001"/>
        </w:numPr>
      </w:pPr>
      <w:r>
        <w:rPr>
          <w:b/>
          <w:bCs/>
        </w:rPr>
        <w:t xml:space="preserve">Open access to data and code</w:t>
      </w:r>
    </w:p>
    <w:p>
      <w:pPr>
        <w:numPr>
          <w:ilvl w:val="0"/>
          <w:numId w:val="1001"/>
        </w:numPr>
      </w:pPr>
      <w:r>
        <w:t xml:space="preserve">Question: Does the paper provide open access to the data and code, with sufficient instructions to faithfully reproduce the main experimental results, as described in supplemental material?</w:t>
      </w:r>
    </w:p>
    <w:p>
      <w:pPr>
        <w:numPr>
          <w:ilvl w:val="0"/>
          <w:numId w:val="1001"/>
        </w:numPr>
      </w:pPr>
      <w:r>
        <w:t xml:space="preserve">Answer:</w:t>
      </w:r>
    </w:p>
    <w:p>
      <w:pPr>
        <w:numPr>
          <w:ilvl w:val="0"/>
          <w:numId w:val="1001"/>
        </w:numPr>
      </w:pPr>
      <w:r>
        <w:t xml:space="preserve">Justification: The source package includes machine-readable values for the paper figures, but not the intervention code, raw logs, or an anonymous public reproduction artifact.</w:t>
      </w:r>
    </w:p>
    <w:p>
      <w:pPr>
        <w:numPr>
          <w:ilvl w:val="0"/>
          <w:numId w:val="1001"/>
        </w:numPr>
      </w:pPr>
      <w:r>
        <w:t xml:space="preserve">Guidelines:</w:t>
      </w:r>
    </w:p>
    <w:p>
      <w:pPr>
        <w:numPr>
          <w:ilvl w:val="1"/>
          <w:numId w:val="1007"/>
        </w:numPr>
      </w:pPr>
      <w:r>
        <w:t xml:space="preserve">The answer means that paper does not include experiments requiring code.</w:t>
      </w:r>
    </w:p>
    <w:p>
      <w:pPr>
        <w:numPr>
          <w:ilvl w:val="1"/>
          <w:numId w:val="1007"/>
        </w:numPr>
      </w:pPr>
      <w:r>
        <w:t xml:space="preserve">Please see the NeurIPS code and data submission guidelines (</w:t>
      </w:r>
      <w:hyperlink r:id="rId53">
        <w:r>
          <w:rPr>
            <w:rStyle w:val="Hyperlink"/>
          </w:rPr>
          <w:t xml:space="preserve">https://neurips.cc/public/guides/CodeSubmissionPolicy</w:t>
        </w:r>
      </w:hyperlink>
      <w:r>
        <w:t xml:space="preserve">) for more details.</w:t>
      </w:r>
    </w:p>
    <w:p>
      <w:pPr>
        <w:numPr>
          <w:ilvl w:val="1"/>
          <w:numId w:val="1007"/>
        </w:numPr>
      </w:pPr>
      <w:r>
        <w:t xml:space="preserve">While we encourage the release of code and data, we understand that this might not be possible, so is an acceptable answer. Papers cannot be rejected simply for not including code, unless this is central to the contribution (e.g., for a new open-source benchmark).</w:t>
      </w:r>
    </w:p>
    <w:p>
      <w:pPr>
        <w:numPr>
          <w:ilvl w:val="1"/>
          <w:numId w:val="1007"/>
        </w:numPr>
      </w:pPr>
      <w:r>
        <w:t xml:space="preserve">The instructions should contain the exact command and environment needed to run to reproduce the results. See the NeurIPS code and data submission guidelines (</w:t>
      </w:r>
      <w:hyperlink r:id="rId53">
        <w:r>
          <w:rPr>
            <w:rStyle w:val="Hyperlink"/>
          </w:rPr>
          <w:t xml:space="preserve">https://neurips.cc/public/guides/CodeSubmissionPolicy</w:t>
        </w:r>
      </w:hyperlink>
      <w:r>
        <w:t xml:space="preserve">) for more details.</w:t>
      </w:r>
    </w:p>
    <w:p>
      <w:pPr>
        <w:numPr>
          <w:ilvl w:val="1"/>
          <w:numId w:val="1007"/>
        </w:numPr>
      </w:pPr>
      <w:r>
        <w:t xml:space="preserve">The authors should provide instructions on data access and preparation, including how to access the raw data, preprocessed data, intermediate data, and generated data, etc.</w:t>
      </w:r>
    </w:p>
    <w:p>
      <w:pPr>
        <w:numPr>
          <w:ilvl w:val="1"/>
          <w:numId w:val="1007"/>
        </w:numPr>
      </w:pPr>
      <w:r>
        <w:t xml:space="preserve">The authors should provide scripts to reproduce all experimental results for the new proposed method and baselines. If only a subset of experiments are reproducible, they should state which ones are omitted from the script and why.</w:t>
      </w:r>
    </w:p>
    <w:p>
      <w:pPr>
        <w:numPr>
          <w:ilvl w:val="1"/>
          <w:numId w:val="1007"/>
        </w:numPr>
      </w:pPr>
      <w:r>
        <w:t xml:space="preserve">At submission time, to preserve anonymity, the authors should release anonymized versions (if applicable).</w:t>
      </w:r>
    </w:p>
    <w:p>
      <w:pPr>
        <w:numPr>
          <w:ilvl w:val="1"/>
          <w:numId w:val="1007"/>
        </w:numPr>
      </w:pPr>
      <w:r>
        <w:t xml:space="preserve">Providing as much information as possible in supplemental material (appended to the paper) is recommended, but including URLs to data and code is permitted.</w:t>
      </w:r>
    </w:p>
    <w:p>
      <w:pPr>
        <w:numPr>
          <w:ilvl w:val="0"/>
          <w:numId w:val="1001"/>
        </w:numPr>
      </w:pPr>
      <w:r>
        <w:rPr>
          <w:b/>
          <w:bCs/>
        </w:rPr>
        <w:t xml:space="preserve">Experimental setting/details</w:t>
      </w:r>
    </w:p>
    <w:p>
      <w:pPr>
        <w:numPr>
          <w:ilvl w:val="0"/>
          <w:numId w:val="1001"/>
        </w:numPr>
      </w:pPr>
      <w:r>
        <w:t xml:space="preserve">Question: Does the paper specify all the training and test details (e.g., data splits, hyperparameters, how they were chosen, type of optimizer) necessary to understand the results?</w:t>
      </w:r>
    </w:p>
    <w:p>
      <w:pPr>
        <w:numPr>
          <w:ilvl w:val="0"/>
          <w:numId w:val="1001"/>
        </w:numPr>
      </w:pPr>
      <w:r>
        <w:t xml:space="preserve">Answer:</w:t>
      </w:r>
    </w:p>
    <w:p>
      <w:pPr>
        <w:numPr>
          <w:ilvl w:val="0"/>
          <w:numId w:val="1001"/>
        </w:numPr>
      </w:pPr>
      <w:r>
        <w:t xml:space="preserve">Justification: The Methods and Results provide the state grid, branch construction, intervention targets, controls, action horizons, model interfaces, and statistical analysis needed to interpret the results. Appendix A states which exact environment details are available and which remain unreported.</w:t>
      </w:r>
    </w:p>
    <w:p>
      <w:pPr>
        <w:numPr>
          <w:ilvl w:val="0"/>
          <w:numId w:val="1001"/>
        </w:numPr>
      </w:pPr>
      <w:r>
        <w:t xml:space="preserve">Guidelines:</w:t>
      </w:r>
    </w:p>
    <w:p>
      <w:pPr>
        <w:numPr>
          <w:ilvl w:val="1"/>
          <w:numId w:val="1008"/>
        </w:numPr>
      </w:pPr>
      <w:r>
        <w:t xml:space="preserve">The answer means that the paper does not include experiments.</w:t>
      </w:r>
    </w:p>
    <w:p>
      <w:pPr>
        <w:numPr>
          <w:ilvl w:val="1"/>
          <w:numId w:val="1008"/>
        </w:numPr>
      </w:pPr>
      <w:r>
        <w:t xml:space="preserve">The experimental setting should be presented in the core of the paper to a level of detail that is necessary to appreciate the results and make sense of them.</w:t>
      </w:r>
    </w:p>
    <w:p>
      <w:pPr>
        <w:numPr>
          <w:ilvl w:val="1"/>
          <w:numId w:val="1008"/>
        </w:numPr>
      </w:pPr>
      <w:r>
        <w:t xml:space="preserve">The full details can be provided either with the code, in appendix, or as supplemental material.</w:t>
      </w:r>
    </w:p>
    <w:p>
      <w:pPr>
        <w:numPr>
          <w:ilvl w:val="0"/>
          <w:numId w:val="1001"/>
        </w:numPr>
      </w:pPr>
      <w:r>
        <w:rPr>
          <w:b/>
          <w:bCs/>
        </w:rPr>
        <w:t xml:space="preserve">Experiment statistical significance</w:t>
      </w:r>
    </w:p>
    <w:p>
      <w:pPr>
        <w:numPr>
          <w:ilvl w:val="0"/>
          <w:numId w:val="1001"/>
        </w:numPr>
      </w:pPr>
      <w:r>
        <w:t xml:space="preserve">Question: Does the paper report error bars suitably and correctly defined or other appropriate information about the statistical significance of the experiments?</w:t>
      </w:r>
    </w:p>
    <w:p>
      <w:pPr>
        <w:numPr>
          <w:ilvl w:val="0"/>
          <w:numId w:val="1001"/>
        </w:numPr>
      </w:pPr>
      <w:r>
        <w:t xml:space="preserve">Answer:</w:t>
      </w:r>
    </w:p>
    <w:p>
      <w:pPr>
        <w:numPr>
          <w:ilvl w:val="0"/>
          <w:numId w:val="1001"/>
        </w:numPr>
      </w:pPr>
      <w:r>
        <w:t xml:space="preserve">Justification: Principal estimates have explicitly defined 95% cluster-bootstrap intervals, the independent unit and 10,000-resample procedure are stated in the Methods, and exact sign counts are reported where relevant. The text identifies controls and secondary means for which exact intervals were not available.</w:t>
      </w:r>
    </w:p>
    <w:p>
      <w:pPr>
        <w:numPr>
          <w:ilvl w:val="0"/>
          <w:numId w:val="1001"/>
        </w:numPr>
      </w:pPr>
      <w:r>
        <w:t xml:space="preserve">Guidelines:</w:t>
      </w:r>
    </w:p>
    <w:p>
      <w:pPr>
        <w:numPr>
          <w:ilvl w:val="1"/>
          <w:numId w:val="1009"/>
        </w:numPr>
      </w:pPr>
      <w:r>
        <w:t xml:space="preserve">The answer means that the paper does not include experiments.</w:t>
      </w:r>
    </w:p>
    <w:p>
      <w:pPr>
        <w:numPr>
          <w:ilvl w:val="1"/>
          <w:numId w:val="1009"/>
        </w:numPr>
      </w:pPr>
      <w:r>
        <w:t xml:space="preserve">The authors should answer if the results are accompanied by error bars, confidence intervals, or statistical significance tests, at least for the experiments that support the main claims of the paper.</w:t>
      </w:r>
    </w:p>
    <w:p>
      <w:pPr>
        <w:numPr>
          <w:ilvl w:val="1"/>
          <w:numId w:val="1009"/>
        </w:numPr>
      </w:pPr>
      <w:r>
        <w:t xml:space="preserve">The factors of variability that the error bars are capturing should be clearly stated (for example, train/test split, initialization, random drawing of some parameter, or overall run with given experimental conditions).</w:t>
      </w:r>
    </w:p>
    <w:p>
      <w:pPr>
        <w:numPr>
          <w:ilvl w:val="1"/>
          <w:numId w:val="1009"/>
        </w:numPr>
      </w:pPr>
      <w:r>
        <w:t xml:space="preserve">The method for calculating the error bars should be explained (closed form formula, call to a library function, bootstrap, etc.)</w:t>
      </w:r>
    </w:p>
    <w:p>
      <w:pPr>
        <w:numPr>
          <w:ilvl w:val="1"/>
          <w:numId w:val="1009"/>
        </w:numPr>
      </w:pPr>
      <w:r>
        <w:t xml:space="preserve">The assumptions made should be given (e.g., Normally distributed errors).</w:t>
      </w:r>
    </w:p>
    <w:p>
      <w:pPr>
        <w:numPr>
          <w:ilvl w:val="1"/>
          <w:numId w:val="1009"/>
        </w:numPr>
      </w:pPr>
      <w:r>
        <w:t xml:space="preserve">It should be clear whether the error bar is the standard deviation or the standard error of the mean.</w:t>
      </w:r>
    </w:p>
    <w:p>
      <w:pPr>
        <w:numPr>
          <w:ilvl w:val="1"/>
          <w:numId w:val="1009"/>
        </w:numPr>
      </w:pPr>
      <w:r>
        <w:t xml:space="preserve">It is OK to report 1-sigma error bars, but one should state it. The authors should preferably report a 2-sigma error bar than state that they have a 96% CI, if the hypothesis of Normality of errors is not verified.</w:t>
      </w:r>
    </w:p>
    <w:p>
      <w:pPr>
        <w:numPr>
          <w:ilvl w:val="1"/>
          <w:numId w:val="1009"/>
        </w:numPr>
      </w:pPr>
      <w:r>
        <w:t xml:space="preserve">For asymmetric distributions, the authors should be careful not to show in tables or figures symmetric error bars that would yield results that are out of range (e.g., negative error rates).</w:t>
      </w:r>
    </w:p>
    <w:p>
      <w:pPr>
        <w:numPr>
          <w:ilvl w:val="1"/>
          <w:numId w:val="1009"/>
        </w:numPr>
      </w:pPr>
      <w:r>
        <w:t xml:space="preserve">If error bars are reported in tables or plots, the authors should explain in the text how they were calculated and reference the corresponding figures or tables in the text.</w:t>
      </w:r>
    </w:p>
    <w:p>
      <w:pPr>
        <w:numPr>
          <w:ilvl w:val="0"/>
          <w:numId w:val="1001"/>
        </w:numPr>
      </w:pPr>
      <w:r>
        <w:rPr>
          <w:b/>
          <w:bCs/>
        </w:rPr>
        <w:t xml:space="preserve">Experiments compute resources</w:t>
      </w:r>
    </w:p>
    <w:p>
      <w:pPr>
        <w:numPr>
          <w:ilvl w:val="0"/>
          <w:numId w:val="1001"/>
        </w:numPr>
      </w:pPr>
      <w:r>
        <w:t xml:space="preserve">Question: For each experiment, does the paper provide sufficient information on the computer resources (type of compute workers, memory, time of execution) needed to reproduce the experiments?</w:t>
      </w:r>
    </w:p>
    <w:p>
      <w:pPr>
        <w:numPr>
          <w:ilvl w:val="0"/>
          <w:numId w:val="1001"/>
        </w:numPr>
      </w:pPr>
      <w:r>
        <w:t xml:space="preserve">Answer:</w:t>
      </w:r>
    </w:p>
    <w:p>
      <w:pPr>
        <w:numPr>
          <w:ilvl w:val="0"/>
          <w:numId w:val="1001"/>
        </w:numPr>
      </w:pPr>
      <w:r>
        <w:t xml:space="preserve">Justification: Appendix A reports GPU type and software environment, but complete per-run wall-clock and aggregate compute-hour accounting is still being assembled for the submission artifact.</w:t>
      </w:r>
    </w:p>
    <w:p>
      <w:pPr>
        <w:numPr>
          <w:ilvl w:val="0"/>
          <w:numId w:val="1001"/>
        </w:numPr>
      </w:pPr>
      <w:r>
        <w:t xml:space="preserve">Guidelines:</w:t>
      </w:r>
    </w:p>
    <w:p>
      <w:pPr>
        <w:numPr>
          <w:ilvl w:val="1"/>
          <w:numId w:val="1010"/>
        </w:numPr>
      </w:pPr>
      <w:r>
        <w:t xml:space="preserve">The answer means that the paper does not include experiments.</w:t>
      </w:r>
    </w:p>
    <w:p>
      <w:pPr>
        <w:numPr>
          <w:ilvl w:val="1"/>
          <w:numId w:val="1010"/>
        </w:numPr>
      </w:pPr>
      <w:r>
        <w:t xml:space="preserve">The paper should indicate the type of compute workers CPU or GPU, internal cluster, or cloud provider, including relevant memory and storage.</w:t>
      </w:r>
    </w:p>
    <w:p>
      <w:pPr>
        <w:numPr>
          <w:ilvl w:val="1"/>
          <w:numId w:val="1010"/>
        </w:numPr>
      </w:pPr>
      <w:r>
        <w:t xml:space="preserve">The paper should provide the amount of compute required for each of the individual experimental runs as well as estimate the total compute.</w:t>
      </w:r>
    </w:p>
    <w:p>
      <w:pPr>
        <w:numPr>
          <w:ilvl w:val="1"/>
          <w:numId w:val="1010"/>
        </w:numPr>
      </w:pPr>
      <w:r>
        <w:t xml:space="preserve">The paper should disclose whether the full research project required more compute than the experiments reported in the paper (e.g., preliminary or failed experiments that didn’t make it into the paper).</w:t>
      </w:r>
    </w:p>
    <w:p>
      <w:pPr>
        <w:numPr>
          <w:ilvl w:val="0"/>
          <w:numId w:val="1001"/>
        </w:numPr>
      </w:pPr>
      <w:r>
        <w:rPr>
          <w:b/>
          <w:bCs/>
        </w:rPr>
        <w:t xml:space="preserve">Code of ethics</w:t>
      </w:r>
    </w:p>
    <w:p>
      <w:pPr>
        <w:numPr>
          <w:ilvl w:val="0"/>
          <w:numId w:val="1001"/>
        </w:numPr>
      </w:pPr>
      <w:r>
        <w:t xml:space="preserve">Question: Does the research conducted in the paper conform, in every respect, with the NeurIPS Code of Ethics</w:t>
      </w:r>
      <w:r>
        <w:t xml:space="preserve"> </w:t>
      </w:r>
      <w:hyperlink r:id="rId54">
        <w:r>
          <w:rPr>
            <w:rStyle w:val="Hyperlink"/>
          </w:rPr>
          <w:t xml:space="preserve">https://neurips.cc/public/EthicsGuidelines</w:t>
        </w:r>
      </w:hyperlink>
      <w:r>
        <w:t xml:space="preserve">?</w:t>
      </w:r>
    </w:p>
    <w:p>
      <w:pPr>
        <w:numPr>
          <w:ilvl w:val="0"/>
          <w:numId w:val="1001"/>
        </w:numPr>
      </w:pPr>
      <w:r>
        <w:t xml:space="preserve">Answer:</w:t>
      </w:r>
    </w:p>
    <w:p>
      <w:pPr>
        <w:numPr>
          <w:ilvl w:val="0"/>
          <w:numId w:val="1001"/>
        </w:numPr>
      </w:pPr>
      <w:r>
        <w:t xml:space="preserve">Justification: The experiments use public robot-policy checkpoints and simulation benchmarks, involve no people or personal data, and report negative and failed intervention results rather than selectively discarding them.</w:t>
      </w:r>
    </w:p>
    <w:p>
      <w:pPr>
        <w:numPr>
          <w:ilvl w:val="0"/>
          <w:numId w:val="1001"/>
        </w:numPr>
      </w:pPr>
      <w:r>
        <w:t xml:space="preserve">Guidelines:</w:t>
      </w:r>
    </w:p>
    <w:p>
      <w:pPr>
        <w:numPr>
          <w:ilvl w:val="1"/>
          <w:numId w:val="1011"/>
        </w:numPr>
      </w:pPr>
      <w:r>
        <w:t xml:space="preserve">The answer means that the authors have not reviewed the NeurIPS Code of Ethics.</w:t>
      </w:r>
    </w:p>
    <w:p>
      <w:pPr>
        <w:numPr>
          <w:ilvl w:val="1"/>
          <w:numId w:val="1011"/>
        </w:numPr>
      </w:pPr>
      <w:r>
        <w:t xml:space="preserve">If the authors answer , they should explain the special circumstances that require a deviation from the Code of Ethics.</w:t>
      </w:r>
    </w:p>
    <w:p>
      <w:pPr>
        <w:numPr>
          <w:ilvl w:val="1"/>
          <w:numId w:val="1011"/>
        </w:numPr>
      </w:pPr>
      <w:r>
        <w:t xml:space="preserve">The authors should make sure to preserve anonymity (e.g., if there is a special consideration due to laws or regulations in their jurisdiction).</w:t>
      </w:r>
    </w:p>
    <w:p>
      <w:pPr>
        <w:numPr>
          <w:ilvl w:val="0"/>
          <w:numId w:val="1001"/>
        </w:numPr>
      </w:pPr>
      <w:r>
        <w:rPr>
          <w:b/>
          <w:bCs/>
        </w:rPr>
        <w:t xml:space="preserve">Broader impacts</w:t>
      </w:r>
    </w:p>
    <w:p>
      <w:pPr>
        <w:numPr>
          <w:ilvl w:val="0"/>
          <w:numId w:val="1001"/>
        </w:numPr>
      </w:pPr>
      <w:r>
        <w:t xml:space="preserve">Question: Does the paper discuss both potential positive societal impacts and negative societal impacts of the work performed?</w:t>
      </w:r>
    </w:p>
    <w:p>
      <w:pPr>
        <w:numPr>
          <w:ilvl w:val="0"/>
          <w:numId w:val="1001"/>
        </w:numPr>
      </w:pPr>
      <w:r>
        <w:t xml:space="preserve">Answer:</w:t>
      </w:r>
    </w:p>
    <w:p>
      <w:pPr>
        <w:numPr>
          <w:ilvl w:val="0"/>
          <w:numId w:val="1001"/>
        </w:numPr>
      </w:pPr>
      <w:r>
        <w:t xml:space="preserve">Justification: The Discussion and Limitations section discusses auditability benefits, action-redirection misuse, false confidence from narrow simulation, and corresponding validation and safety-monitoring needs.</w:t>
      </w:r>
    </w:p>
    <w:p>
      <w:pPr>
        <w:numPr>
          <w:ilvl w:val="0"/>
          <w:numId w:val="1001"/>
        </w:numPr>
      </w:pPr>
      <w:r>
        <w:t xml:space="preserve">Guidelines:</w:t>
      </w:r>
    </w:p>
    <w:p>
      <w:pPr>
        <w:numPr>
          <w:ilvl w:val="1"/>
          <w:numId w:val="1012"/>
        </w:numPr>
      </w:pPr>
      <w:r>
        <w:t xml:space="preserve">The answer means that there is no societal impact of the work performed.</w:t>
      </w:r>
    </w:p>
    <w:p>
      <w:pPr>
        <w:numPr>
          <w:ilvl w:val="1"/>
          <w:numId w:val="1012"/>
        </w:numPr>
      </w:pPr>
      <w:r>
        <w:t xml:space="preserve">If the authors answer or , they should explain why their work has no societal impact or why the paper does not address societal impact.</w:t>
      </w:r>
    </w:p>
    <w:p>
      <w:pPr>
        <w:numPr>
          <w:ilvl w:val="1"/>
          <w:numId w:val="1012"/>
        </w:numPr>
      </w:pPr>
      <w:r>
        <w:t xml:space="preserve">Examples of negative societal impacts include potential malicious or unintended uses (e.g., disinformation, generating fake profiles, surveillance), fairness considerations (e.g., deployment of technologies that could make decisions that unfairly impact specific groups), privacy considerations, and security considerations.</w:t>
      </w:r>
    </w:p>
    <w:p>
      <w:pPr>
        <w:numPr>
          <w:ilvl w:val="1"/>
          <w:numId w:val="1012"/>
        </w:numPr>
      </w:pPr>
      <w:r>
        <w:t xml:space="preserve">The conference expects that many papers will be foundational research and not tied to particular applications, let alone deployments. However, if there is a direct path to any negative applications, the authors should point it out. For example, it is legitimate to point out that an improvement in the quality of generative models could be used to generate Deepfakes for disinformation. On the other hand, it is not needed to point out that a generic algorithm for optimizing neural networks could enable people to train models that generate Deepfakes faster.</w:t>
      </w:r>
    </w:p>
    <w:p>
      <w:pPr>
        <w:numPr>
          <w:ilvl w:val="1"/>
          <w:numId w:val="1012"/>
        </w:numPr>
      </w:pPr>
      <w:r>
        <w:t xml:space="preserve">The authors should consider possible harms that could arise when the technology is being used as intended and functioning correctly, harms that could arise when the technology is being used as intended but gives incorrect results, and harms following from (intentional or unintentional) misuse of the technology.</w:t>
      </w:r>
    </w:p>
    <w:p>
      <w:pPr>
        <w:numPr>
          <w:ilvl w:val="1"/>
          <w:numId w:val="1012"/>
        </w:numPr>
      </w:pPr>
      <w:r>
        <w:t xml:space="preserve">If there are negative societal impacts, the authors could also discuss possible mitigation strategies (e.g., gated release of models, providing defenses in addition to attacks, mechanisms for monitoring misuse, mechanisms to monitor how a system learns from feedback over time, improving the efficiency and accessibility of ML).</w:t>
      </w:r>
    </w:p>
    <w:p>
      <w:pPr>
        <w:numPr>
          <w:ilvl w:val="0"/>
          <w:numId w:val="1001"/>
        </w:numPr>
      </w:pPr>
      <w:r>
        <w:rPr>
          <w:b/>
          <w:bCs/>
        </w:rPr>
        <w:t xml:space="preserve">Safeguards</w:t>
      </w:r>
    </w:p>
    <w:p>
      <w:pPr>
        <w:numPr>
          <w:ilvl w:val="0"/>
          <w:numId w:val="1001"/>
        </w:numPr>
      </w:pPr>
      <w:r>
        <w:t xml:space="preserve">Question: Does the paper describe safeguards that have been put in place for responsible release of data or models that have a high risk for misuse (e.g., pre-trained language models, image generators, or scraped datasets)?</w:t>
      </w:r>
    </w:p>
    <w:p>
      <w:pPr>
        <w:numPr>
          <w:ilvl w:val="0"/>
          <w:numId w:val="1001"/>
        </w:numPr>
      </w:pPr>
      <w:r>
        <w:t xml:space="preserve">Answer:</w:t>
      </w:r>
    </w:p>
    <w:p>
      <w:pPr>
        <w:numPr>
          <w:ilvl w:val="0"/>
          <w:numId w:val="1001"/>
        </w:numPr>
      </w:pPr>
      <w:r>
        <w:t xml:space="preserve">Justification: This work does not release a new high-risk pretrained model or scraped dataset; it analyzes existing robot policies in simulation.</w:t>
      </w:r>
    </w:p>
    <w:p>
      <w:pPr>
        <w:numPr>
          <w:ilvl w:val="0"/>
          <w:numId w:val="1001"/>
        </w:numPr>
      </w:pPr>
      <w:r>
        <w:t xml:space="preserve">Guidelines:</w:t>
      </w:r>
    </w:p>
    <w:p>
      <w:pPr>
        <w:numPr>
          <w:ilvl w:val="1"/>
          <w:numId w:val="1013"/>
        </w:numPr>
      </w:pPr>
      <w:r>
        <w:t xml:space="preserve">The answer means that the paper poses no such risks.</w:t>
      </w:r>
    </w:p>
    <w:p>
      <w:pPr>
        <w:numPr>
          <w:ilvl w:val="1"/>
          <w:numId w:val="1013"/>
        </w:numPr>
      </w:pPr>
      <w:r>
        <w:t xml:space="preserve">Released models that have a high risk for misuse or dual-use should be released with necessary safeguards to allow for controlled use of the model, for example by requiring that users adhere to usage guidelines or restrictions to access the model or implementing safety filters.</w:t>
      </w:r>
    </w:p>
    <w:p>
      <w:pPr>
        <w:numPr>
          <w:ilvl w:val="1"/>
          <w:numId w:val="1013"/>
        </w:numPr>
      </w:pPr>
      <w:r>
        <w:t xml:space="preserve">Datasets that have been scraped from the Internet could pose safety risks. The authors should describe how they avoided releasing unsafe images.</w:t>
      </w:r>
    </w:p>
    <w:p>
      <w:pPr>
        <w:numPr>
          <w:ilvl w:val="1"/>
          <w:numId w:val="1013"/>
        </w:numPr>
      </w:pPr>
      <w:r>
        <w:t xml:space="preserve">We recognize that providing effective safeguards is challenging, and many papers do not require this, but we encourage authors to take this into account and make a best faith effort.</w:t>
      </w:r>
    </w:p>
    <w:p>
      <w:pPr>
        <w:numPr>
          <w:ilvl w:val="0"/>
          <w:numId w:val="1001"/>
        </w:numPr>
      </w:pPr>
      <w:r>
        <w:rPr>
          <w:b/>
          <w:bCs/>
        </w:rPr>
        <w:t xml:space="preserve">Licenses for existing assets</w:t>
      </w:r>
    </w:p>
    <w:p>
      <w:pPr>
        <w:numPr>
          <w:ilvl w:val="0"/>
          <w:numId w:val="1001"/>
        </w:numPr>
      </w:pPr>
      <w:r>
        <w:t xml:space="preserve">Question: Are the creators or original owners of assets (e.g., code, data, models), used in the paper, properly credited and are the license and terms of use explicitly mentioned and properly respected?</w:t>
      </w:r>
    </w:p>
    <w:p>
      <w:pPr>
        <w:numPr>
          <w:ilvl w:val="0"/>
          <w:numId w:val="1001"/>
        </w:numPr>
      </w:pPr>
      <w:r>
        <w:t xml:space="preserve">Answer:</w:t>
      </w:r>
    </w:p>
    <w:p>
      <w:pPr>
        <w:numPr>
          <w:ilvl w:val="0"/>
          <w:numId w:val="1001"/>
        </w:numPr>
      </w:pPr>
      <w:r>
        <w:t xml:space="preserve">Justification: Existing assets are cited and exact source revisions are recorded, but an explicit license inventory for every upstream code and benchmark asset remains to be added before submission.</w:t>
      </w:r>
    </w:p>
    <w:p>
      <w:pPr>
        <w:numPr>
          <w:ilvl w:val="0"/>
          <w:numId w:val="1001"/>
        </w:numPr>
      </w:pPr>
      <w:r>
        <w:t xml:space="preserve">Guidelines:</w:t>
      </w:r>
    </w:p>
    <w:p>
      <w:pPr>
        <w:numPr>
          <w:ilvl w:val="1"/>
          <w:numId w:val="1014"/>
        </w:numPr>
      </w:pPr>
      <w:r>
        <w:t xml:space="preserve">The answer means that the paper does not use existing assets.</w:t>
      </w:r>
    </w:p>
    <w:p>
      <w:pPr>
        <w:numPr>
          <w:ilvl w:val="1"/>
          <w:numId w:val="1014"/>
        </w:numPr>
      </w:pPr>
      <w:r>
        <w:t xml:space="preserve">The authors should cite the original paper that produced the code package or dataset.</w:t>
      </w:r>
    </w:p>
    <w:p>
      <w:pPr>
        <w:numPr>
          <w:ilvl w:val="1"/>
          <w:numId w:val="1014"/>
        </w:numPr>
      </w:pPr>
      <w:r>
        <w:t xml:space="preserve">The authors should state which version of the asset is used and, if possible, include a URL.</w:t>
      </w:r>
    </w:p>
    <w:p>
      <w:pPr>
        <w:numPr>
          <w:ilvl w:val="1"/>
          <w:numId w:val="1014"/>
        </w:numPr>
      </w:pPr>
      <w:r>
        <w:t xml:space="preserve">The name of the license (e.g., CC-BY 4.0) should be included for each asset.</w:t>
      </w:r>
    </w:p>
    <w:p>
      <w:pPr>
        <w:numPr>
          <w:ilvl w:val="1"/>
          <w:numId w:val="1014"/>
        </w:numPr>
      </w:pPr>
      <w:r>
        <w:t xml:space="preserve">For scraped data from a particular source (e.g., website), the copyright and terms of service of that source should be provided.</w:t>
      </w:r>
    </w:p>
    <w:p>
      <w:pPr>
        <w:numPr>
          <w:ilvl w:val="1"/>
          <w:numId w:val="1014"/>
        </w:numPr>
      </w:pPr>
      <w:r>
        <w:t xml:space="preserve">If assets are released, the license, copyright information, and terms of use in the package should be provided. For popular datasets,</w:t>
      </w:r>
      <w:r>
        <w:t xml:space="preserve"> </w:t>
      </w:r>
      <w:hyperlink r:id="rId55">
        <w:r>
          <w:rPr>
            <w:rStyle w:val="Hyperlink"/>
          </w:rPr>
          <w:t xml:space="preserve">paperswithcode.com/datasets</w:t>
        </w:r>
      </w:hyperlink>
      <w:r>
        <w:t xml:space="preserve"> </w:t>
      </w:r>
      <w:r>
        <w:t xml:space="preserve">has curated licenses for some datasets. Their licensing guide can help determine the license of a dataset.</w:t>
      </w:r>
    </w:p>
    <w:p>
      <w:pPr>
        <w:numPr>
          <w:ilvl w:val="1"/>
          <w:numId w:val="1014"/>
        </w:numPr>
      </w:pPr>
      <w:r>
        <w:t xml:space="preserve">For existing datasets that are re-packaged, both the original license and the license of the derived asset (if it has changed) should be provided.</w:t>
      </w:r>
    </w:p>
    <w:p>
      <w:pPr>
        <w:numPr>
          <w:ilvl w:val="1"/>
          <w:numId w:val="1014"/>
        </w:numPr>
      </w:pPr>
      <w:r>
        <w:t xml:space="preserve">If this information is not available online, the authors are encouraged to reach out to the asset’s creators.</w:t>
      </w:r>
    </w:p>
    <w:p>
      <w:pPr>
        <w:numPr>
          <w:ilvl w:val="0"/>
          <w:numId w:val="1001"/>
        </w:numPr>
      </w:pPr>
      <w:r>
        <w:rPr>
          <w:b/>
          <w:bCs/>
        </w:rPr>
        <w:t xml:space="preserve">New assets</w:t>
      </w:r>
    </w:p>
    <w:p>
      <w:pPr>
        <w:numPr>
          <w:ilvl w:val="0"/>
          <w:numId w:val="1001"/>
        </w:numPr>
      </w:pPr>
      <w:r>
        <w:t xml:space="preserve">Question: Are new assets introduced in the paper well documented and is the documentation provided alongside the assets?</w:t>
      </w:r>
    </w:p>
    <w:p>
      <w:pPr>
        <w:numPr>
          <w:ilvl w:val="0"/>
          <w:numId w:val="1001"/>
        </w:numPr>
      </w:pPr>
      <w:r>
        <w:t xml:space="preserve">Answer:</w:t>
      </w:r>
    </w:p>
    <w:p>
      <w:pPr>
        <w:numPr>
          <w:ilvl w:val="0"/>
          <w:numId w:val="1001"/>
        </w:numPr>
      </w:pPr>
      <w:r>
        <w:t xml:space="preserve">Justification: New intervention code and result manifests are documented in the working artifact, but the anonymized release package and its final license are not yet attached to this draft.</w:t>
      </w:r>
    </w:p>
    <w:p>
      <w:pPr>
        <w:numPr>
          <w:ilvl w:val="0"/>
          <w:numId w:val="1001"/>
        </w:numPr>
      </w:pPr>
      <w:r>
        <w:t xml:space="preserve">Guidelines:</w:t>
      </w:r>
    </w:p>
    <w:p>
      <w:pPr>
        <w:numPr>
          <w:ilvl w:val="1"/>
          <w:numId w:val="1015"/>
        </w:numPr>
      </w:pPr>
      <w:r>
        <w:t xml:space="preserve">The answer means that the paper does not release new assets.</w:t>
      </w:r>
    </w:p>
    <w:p>
      <w:pPr>
        <w:numPr>
          <w:ilvl w:val="1"/>
          <w:numId w:val="1015"/>
        </w:numPr>
      </w:pPr>
      <w:r>
        <w:t xml:space="preserve">Researchers should communicate the details of the dataset/code/model as part of their submissions via structured templates. This includes details about training, license, limitations, etc.</w:t>
      </w:r>
    </w:p>
    <w:p>
      <w:pPr>
        <w:numPr>
          <w:ilvl w:val="1"/>
          <w:numId w:val="1015"/>
        </w:numPr>
      </w:pPr>
      <w:r>
        <w:t xml:space="preserve">The paper should discuss whether and how consent was obtained from people whose asset is used.</w:t>
      </w:r>
    </w:p>
    <w:p>
      <w:pPr>
        <w:numPr>
          <w:ilvl w:val="1"/>
          <w:numId w:val="1015"/>
        </w:numPr>
      </w:pPr>
      <w:r>
        <w:t xml:space="preserve">At submission time, remember to anonymize your assets (if applicable). You can either create an anonymized URL or include an anonymized zip file.</w:t>
      </w:r>
    </w:p>
    <w:p>
      <w:pPr>
        <w:numPr>
          <w:ilvl w:val="0"/>
          <w:numId w:val="1001"/>
        </w:numPr>
      </w:pPr>
      <w:r>
        <w:rPr>
          <w:b/>
          <w:bCs/>
        </w:rPr>
        <w:t xml:space="preserve">Crowdsourcing and research with human subjects</w:t>
      </w:r>
    </w:p>
    <w:p>
      <w:pPr>
        <w:numPr>
          <w:ilvl w:val="0"/>
          <w:numId w:val="1001"/>
        </w:numPr>
      </w:pPr>
      <w:r>
        <w:t xml:space="preserve">Question: For crowdsourcing experiments and research with human subjects, does the paper include the full text of instructions given to participants and screenshots, if applicable, as well as details about compensation (if any)?</w:t>
      </w:r>
    </w:p>
    <w:p>
      <w:pPr>
        <w:numPr>
          <w:ilvl w:val="0"/>
          <w:numId w:val="1001"/>
        </w:numPr>
      </w:pPr>
      <w:r>
        <w:t xml:space="preserve">Answer:</w:t>
      </w:r>
    </w:p>
    <w:p>
      <w:pPr>
        <w:numPr>
          <w:ilvl w:val="0"/>
          <w:numId w:val="1001"/>
        </w:numPr>
      </w:pPr>
      <w:r>
        <w:t xml:space="preserve">Justification: The research contains no crowdsourcing and no human participants.</w:t>
      </w:r>
    </w:p>
    <w:p>
      <w:pPr>
        <w:numPr>
          <w:ilvl w:val="0"/>
          <w:numId w:val="1001"/>
        </w:numPr>
      </w:pPr>
      <w:r>
        <w:t xml:space="preserve">Guidelines:</w:t>
      </w:r>
    </w:p>
    <w:p>
      <w:pPr>
        <w:numPr>
          <w:ilvl w:val="1"/>
          <w:numId w:val="1016"/>
        </w:numPr>
      </w:pPr>
      <w:r>
        <w:t xml:space="preserve">The answer means that the paper does not involve crowdsourcing nor research with human subjects.</w:t>
      </w:r>
    </w:p>
    <w:p>
      <w:pPr>
        <w:numPr>
          <w:ilvl w:val="1"/>
          <w:numId w:val="1016"/>
        </w:numPr>
      </w:pPr>
      <w:r>
        <w:t xml:space="preserve">Including this information in the supplemental material is fine, but if the main contribution of the paper involves human subjects, then as much detail as possible should be included in the main paper.</w:t>
      </w:r>
    </w:p>
    <w:p>
      <w:pPr>
        <w:numPr>
          <w:ilvl w:val="1"/>
          <w:numId w:val="1016"/>
        </w:numPr>
      </w:pPr>
      <w:r>
        <w:t xml:space="preserve">According to the NeurIPS Code of Ethics, workers involved in data collection, curation, or other labor should be paid at least the minimum wage in the country of the data collector.</w:t>
      </w:r>
    </w:p>
    <w:p>
      <w:pPr>
        <w:numPr>
          <w:ilvl w:val="0"/>
          <w:numId w:val="1001"/>
        </w:numPr>
      </w:pPr>
      <w:r>
        <w:rPr>
          <w:b/>
          <w:bCs/>
        </w:rPr>
        <w:t xml:space="preserve">Institutional review board (IRB) approvals or equivalent for research with human subjects</w:t>
      </w:r>
    </w:p>
    <w:p>
      <w:pPr>
        <w:numPr>
          <w:ilvl w:val="0"/>
          <w:numId w:val="1001"/>
        </w:numPr>
      </w:pPr>
      <w:r>
        <w:t xml:space="preserve">Question: Does the paper describe potential risks incurred by study participants, whether such risks were disclosed to the subjects, and whether Institutional Review Board (IRB) approvals (or an equivalent approval/review based on the requirements of your country or institution) were obtained?</w:t>
      </w:r>
    </w:p>
    <w:p>
      <w:pPr>
        <w:numPr>
          <w:ilvl w:val="0"/>
          <w:numId w:val="1001"/>
        </w:numPr>
      </w:pPr>
      <w:r>
        <w:t xml:space="preserve">Answer:</w:t>
      </w:r>
    </w:p>
    <w:p>
      <w:pPr>
        <w:numPr>
          <w:ilvl w:val="0"/>
          <w:numId w:val="1001"/>
        </w:numPr>
      </w:pPr>
      <w:r>
        <w:t xml:space="preserve">Justification: The research contains no human-subject data collection or interaction.</w:t>
      </w:r>
    </w:p>
    <w:p>
      <w:pPr>
        <w:numPr>
          <w:ilvl w:val="0"/>
          <w:numId w:val="1001"/>
        </w:numPr>
      </w:pPr>
      <w:r>
        <w:t xml:space="preserve">Guidelines:</w:t>
      </w:r>
    </w:p>
    <w:p>
      <w:pPr>
        <w:numPr>
          <w:ilvl w:val="1"/>
          <w:numId w:val="1017"/>
        </w:numPr>
      </w:pPr>
      <w:r>
        <w:t xml:space="preserve">The answer means that the paper does not involve crowdsourcing nor research with human subjects.</w:t>
      </w:r>
    </w:p>
    <w:p>
      <w:pPr>
        <w:numPr>
          <w:ilvl w:val="1"/>
          <w:numId w:val="1017"/>
        </w:numPr>
      </w:pPr>
      <w:r>
        <w:t xml:space="preserve">Depending on the country in which research is conducted, IRB approval (or equivalent) may be required for any human subjects research. If you obtained IRB approval, you should clearly state this in the paper.</w:t>
      </w:r>
    </w:p>
    <w:p>
      <w:pPr>
        <w:numPr>
          <w:ilvl w:val="1"/>
          <w:numId w:val="1017"/>
        </w:numPr>
      </w:pPr>
      <w:r>
        <w:t xml:space="preserve">We recognize that the procedures for this may vary significantly between institutions and locations, and we expect authors to adhere to the NeurIPS Code of Ethics and the guidelines for their institution.</w:t>
      </w:r>
    </w:p>
    <w:p>
      <w:pPr>
        <w:numPr>
          <w:ilvl w:val="1"/>
          <w:numId w:val="1017"/>
        </w:numPr>
      </w:pPr>
      <w:r>
        <w:t xml:space="preserve">For initial submissions, do not include any information that would break anonymity (if applicable), such as the institution conducting the review.</w:t>
      </w:r>
    </w:p>
    <w:p>
      <w:pPr>
        <w:numPr>
          <w:ilvl w:val="0"/>
          <w:numId w:val="1001"/>
        </w:numPr>
      </w:pPr>
      <w:r>
        <w:rPr>
          <w:b/>
          <w:bCs/>
        </w:rPr>
        <w:t xml:space="preserve">Declaration of LLM usage</w:t>
      </w:r>
    </w:p>
    <w:p>
      <w:pPr>
        <w:numPr>
          <w:ilvl w:val="0"/>
          <w:numId w:val="1001"/>
        </w:numPr>
      </w:pPr>
      <w:r>
        <w:t xml:space="preserve">Question: Does the paper describe the usage of LLMs if it is an important, original, or non-standard component of the core methods in this research? Note that if the LLM is used only for writing, editing, or formatting purposes and does</w:t>
      </w:r>
      <w:r>
        <w:t xml:space="preserve"> </w:t>
      </w:r>
      <w:r>
        <w:rPr>
          <w:i/>
          <w:iCs/>
        </w:rPr>
        <w:t xml:space="preserve">not</w:t>
      </w:r>
      <w:r>
        <w:t xml:space="preserve"> </w:t>
      </w:r>
      <w:r>
        <w:t xml:space="preserve">impact the core methodology, scientific rigor, or originality of the research, declaration is not required.</w:t>
      </w:r>
    </w:p>
    <w:p>
      <w:pPr>
        <w:numPr>
          <w:ilvl w:val="0"/>
          <w:numId w:val="1001"/>
        </w:numPr>
      </w:pPr>
      <w:r>
        <w:t xml:space="preserve">Answer:</w:t>
      </w:r>
    </w:p>
    <w:p>
      <w:pPr>
        <w:numPr>
          <w:ilvl w:val="0"/>
          <w:numId w:val="1001"/>
        </w:numPr>
      </w:pPr>
      <w:r>
        <w:t xml:space="preserve">Justification: Language models were used only for writing and formatting assistance, not as a component of the experimental method or scientific evaluation.</w:t>
      </w:r>
    </w:p>
    <w:p>
      <w:pPr>
        <w:numPr>
          <w:ilvl w:val="0"/>
          <w:numId w:val="1001"/>
        </w:numPr>
      </w:pPr>
      <w:r>
        <w:t xml:space="preserve">Guidelines:</w:t>
      </w:r>
    </w:p>
    <w:p>
      <w:pPr>
        <w:numPr>
          <w:ilvl w:val="1"/>
          <w:numId w:val="1018"/>
        </w:numPr>
      </w:pPr>
      <w:r>
        <w:t xml:space="preserve">The answer means that the core method development in this research does not involve LLMs as any important, original, or non-standard components.</w:t>
      </w:r>
    </w:p>
    <w:p>
      <w:pPr>
        <w:numPr>
          <w:ilvl w:val="1"/>
          <w:numId w:val="1018"/>
        </w:numPr>
      </w:pPr>
      <w:r>
        <w:t xml:space="preserve">Please refer to our LLM policy in the NeurIPS handbook for what should or should not be described.</w:t>
      </w:r>
    </w:p>
    <w:bookmarkStart w:id="104" w:name="refs"/>
    <w:bookmarkStart w:id="57"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6">
        <w:r>
          <w:rPr>
            <w:rStyle w:val="Hyperlink"/>
          </w:rPr>
          <w:t xml:space="preserve">https://proceedings.neurips.cc/paper_files/paper/2023/hash/1d5b9233ad716a43be5c0d3023cb82d0-Abstract.html</w:t>
        </w:r>
      </w:hyperlink>
      <w:r>
        <w:t xml:space="preserve">.</w:t>
      </w:r>
    </w:p>
    <w:bookmarkEnd w:id="57"/>
    <w:bookmarkStart w:id="59"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8">
        <w:r>
          <w:rPr>
            <w:rStyle w:val="Hyperlink"/>
          </w:rPr>
          <w:t xml:space="preserve">https://openreview.net/forum?id=9pKtcJcMP3</w:t>
        </w:r>
      </w:hyperlink>
      <w:r>
        <w:t xml:space="preserve">.</w:t>
      </w:r>
    </w:p>
    <w:bookmarkEnd w:id="59"/>
    <w:bookmarkStart w:id="61"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60">
        <w:r>
          <w:rPr>
            <w:rStyle w:val="Hyperlink"/>
          </w:rPr>
          <w:t xml:space="preserve">https://arxiv.org/abs/1812.00568</w:t>
        </w:r>
      </w:hyperlink>
      <w:r>
        <w:t xml:space="preserve">.</w:t>
      </w:r>
    </w:p>
    <w:bookmarkEnd w:id="61"/>
    <w:bookmarkStart w:id="63"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62">
        <w:r>
          <w:rPr>
            <w:rStyle w:val="Hyperlink"/>
          </w:rPr>
          <w:t xml:space="preserve">https://doi.org/10.1111/j.1467-9868.2007.00593.x</w:t>
        </w:r>
      </w:hyperlink>
      <w:r>
        <w:t xml:space="preserve">.</w:t>
      </w:r>
    </w:p>
    <w:bookmarkEnd w:id="63"/>
    <w:bookmarkStart w:id="65"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64">
        <w:r>
          <w:rPr>
            <w:rStyle w:val="Hyperlink"/>
          </w:rPr>
          <w:t xml:space="preserve">https://doi.org/10.48550/arXiv.2304.05969</w:t>
        </w:r>
      </w:hyperlink>
      <w:r>
        <w:t xml:space="preserve">.</w:t>
      </w:r>
    </w:p>
    <w:bookmarkEnd w:id="65"/>
    <w:bookmarkStart w:id="67"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6">
        <w:r>
          <w:rPr>
            <w:rStyle w:val="Hyperlink"/>
          </w:rPr>
          <w:t xml:space="preserve">https://doi.org/10.52202/079017-3570</w:t>
        </w:r>
      </w:hyperlink>
      <w:r>
        <w:t xml:space="preserve">.</w:t>
      </w:r>
    </w:p>
    <w:bookmarkEnd w:id="67"/>
    <w:bookmarkStart w:id="69"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8">
        <w:r>
          <w:rPr>
            <w:rStyle w:val="Hyperlink"/>
          </w:rPr>
          <w:t xml:space="preserve">https://proceedings.mlr.press/v267/hu25g.html</w:t>
        </w:r>
      </w:hyperlink>
      <w:r>
        <w:t xml:space="preserve">.</w:t>
      </w:r>
    </w:p>
    <w:bookmarkEnd w:id="69"/>
    <w:bookmarkStart w:id="71"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70">
        <w:r>
          <w:rPr>
            <w:rStyle w:val="Hyperlink"/>
          </w:rPr>
          <w:t xml:space="preserve">https://openreview.net/forum?id=wPEIStHxYH</w:t>
        </w:r>
      </w:hyperlink>
      <w:r>
        <w:t xml:space="preserve">.</w:t>
      </w:r>
    </w:p>
    <w:bookmarkEnd w:id="71"/>
    <w:bookmarkStart w:id="73"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72">
        <w:r>
          <w:rPr>
            <w:rStyle w:val="Hyperlink"/>
          </w:rPr>
          <w:t xml:space="preserve">https://doi.org/10.1177/1948550617697177</w:t>
        </w:r>
      </w:hyperlink>
      <w:r>
        <w:t xml:space="preserve">.</w:t>
      </w:r>
    </w:p>
    <w:bookmarkEnd w:id="73"/>
    <w:bookmarkStart w:id="75"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74">
        <w:r>
          <w:rPr>
            <w:rStyle w:val="Hyperlink"/>
          </w:rPr>
          <w:t xml:space="preserve">https://doi.org/10.48550/arXiv.2503.00200</w:t>
        </w:r>
      </w:hyperlink>
      <w:r>
        <w:t xml:space="preserve">.</w:t>
      </w:r>
    </w:p>
    <w:bookmarkEnd w:id="75"/>
    <w:bookmarkStart w:id="77"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6">
        <w:r>
          <w:rPr>
            <w:rStyle w:val="Hyperlink"/>
          </w:rPr>
          <w:t xml:space="preserve">https://doi.org/10.52202/075280-1939</w:t>
        </w:r>
      </w:hyperlink>
      <w:r>
        <w:t xml:space="preserve">.</w:t>
      </w:r>
    </w:p>
    <w:bookmarkEnd w:id="77"/>
    <w:bookmarkStart w:id="79"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8">
        <w:r>
          <w:rPr>
            <w:rStyle w:val="Hyperlink"/>
          </w:rPr>
          <w:t xml:space="preserve">https://doi.org/10.52202/068431-1262</w:t>
        </w:r>
      </w:hyperlink>
      <w:r>
        <w:t xml:space="preserve">.</w:t>
      </w:r>
    </w:p>
    <w:bookmarkEnd w:id="79"/>
    <w:bookmarkStart w:id="81"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80">
        <w:r>
          <w:rPr>
            <w:rStyle w:val="Hyperlink"/>
          </w:rPr>
          <w:t xml:space="preserve">https://doi.org/10.15607/RSS.2024.XX.050</w:t>
        </w:r>
      </w:hyperlink>
      <w:r>
        <w:t xml:space="preserve">.</w:t>
      </w:r>
    </w:p>
    <w:bookmarkEnd w:id="81"/>
    <w:bookmarkStart w:id="83"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82">
        <w:r>
          <w:rPr>
            <w:rStyle w:val="Hyperlink"/>
          </w:rPr>
          <w:t xml:space="preserve">https://doi.org/10.48550/arXiv.2606.02800</w:t>
        </w:r>
      </w:hyperlink>
      <w:r>
        <w:t xml:space="preserve">.</w:t>
      </w:r>
    </w:p>
    <w:bookmarkEnd w:id="83"/>
    <w:bookmarkStart w:id="85"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84">
        <w:r>
          <w:rPr>
            <w:rStyle w:val="Hyperlink"/>
          </w:rPr>
          <w:t xml:space="preserve">https://huggingface.co/nvidia/Cosmos3-Nano-Policy-DROID</w:t>
        </w:r>
      </w:hyperlink>
      <w:r>
        <w:t xml:space="preserve">.</w:t>
      </w:r>
    </w:p>
    <w:bookmarkEnd w:id="85"/>
    <w:bookmarkStart w:id="87"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6">
        <w:r>
          <w:rPr>
            <w:rStyle w:val="Hyperlink"/>
          </w:rPr>
          <w:t xml:space="preserve">https://doi.org/10.48550/arXiv.2606.12217</w:t>
        </w:r>
      </w:hyperlink>
      <w:r>
        <w:t xml:space="preserve">.</w:t>
      </w:r>
    </w:p>
    <w:bookmarkEnd w:id="87"/>
    <w:bookmarkStart w:id="89"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8">
        <w:r>
          <w:rPr>
            <w:rStyle w:val="Hyperlink"/>
          </w:rPr>
          <w:t xml:space="preserve">https://doi.org/10.48550/arXiv.2606.27510</w:t>
        </w:r>
      </w:hyperlink>
      <w:r>
        <w:t xml:space="preserve">.</w:t>
      </w:r>
    </w:p>
    <w:bookmarkEnd w:id="89"/>
    <w:bookmarkStart w:id="91"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90">
        <w:r>
          <w:rPr>
            <w:rStyle w:val="Hyperlink"/>
          </w:rPr>
          <w:t xml:space="preserve">https://proceedings.neurips.cc/paper/2020/hash/92650b2e92217715fe312e6fa7b90d82-Abstract.html</w:t>
        </w:r>
      </w:hyperlink>
      <w:r>
        <w:t xml:space="preserve">.</w:t>
      </w:r>
    </w:p>
    <w:bookmarkEnd w:id="91"/>
    <w:bookmarkStart w:id="93"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92">
        <w:r>
          <w:rPr>
            <w:rStyle w:val="Hyperlink"/>
          </w:rPr>
          <w:t xml:space="preserve">https://doi.org/10.15607/RSS.2026.XXII.096</w:t>
        </w:r>
      </w:hyperlink>
      <w:r>
        <w:t xml:space="preserve">.</w:t>
      </w:r>
    </w:p>
    <w:bookmarkEnd w:id="93"/>
    <w:bookmarkStart w:id="95"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94">
        <w:r>
          <w:rPr>
            <w:rStyle w:val="Hyperlink"/>
          </w:rPr>
          <w:t xml:space="preserve">https://doi.org/10.48550/arXiv.2602.15922</w:t>
        </w:r>
      </w:hyperlink>
      <w:r>
        <w:t xml:space="preserve">.</w:t>
      </w:r>
    </w:p>
    <w:bookmarkEnd w:id="95"/>
    <w:bookmarkStart w:id="97"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6">
        <w:r>
          <w:rPr>
            <w:rStyle w:val="Hyperlink"/>
          </w:rPr>
          <w:t xml:space="preserve">https://doi.org/10.48550/arXiv.2603.16666</w:t>
        </w:r>
      </w:hyperlink>
      <w:r>
        <w:t xml:space="preserve">.</w:t>
      </w:r>
    </w:p>
    <w:bookmarkEnd w:id="97"/>
    <w:bookmarkStart w:id="99"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8">
        <w:r>
          <w:rPr>
            <w:rStyle w:val="Hyperlink"/>
          </w:rPr>
          <w:t xml:space="preserve">https://doi.org/10.48550/arXiv.2608.11521</w:t>
        </w:r>
      </w:hyperlink>
      <w:r>
        <w:t xml:space="preserve">.</w:t>
      </w:r>
    </w:p>
    <w:bookmarkEnd w:id="99"/>
    <w:bookmarkStart w:id="101"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100">
        <w:r>
          <w:rPr>
            <w:rStyle w:val="Hyperlink"/>
          </w:rPr>
          <w:t xml:space="preserve">https://openreview.net/forum?id=Hf17y6u9BC</w:t>
        </w:r>
      </w:hyperlink>
      <w:r>
        <w:t xml:space="preserve">.</w:t>
      </w:r>
    </w:p>
    <w:bookmarkEnd w:id="101"/>
    <w:bookmarkStart w:id="103"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102">
        <w:r>
          <w:rPr>
            <w:rStyle w:val="Hyperlink"/>
          </w:rPr>
          <w:t xml:space="preserve">https://doi.org/10.48550/arXiv.2608.04404</w:t>
        </w:r>
      </w:hyperlink>
      <w:r>
        <w:t xml:space="preserve">.</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 Target="media/rId9.png" /><Relationship Type="http://schemas.openxmlformats.org/officeDocument/2006/relationships/image" Id="rId40" Target="media/rId40.png" /><Relationship Type="http://schemas.openxmlformats.org/officeDocument/2006/relationships/hyperlink" Id="rId60" Target="https://arxiv.org/abs/1812.00568" TargetMode="External" /><Relationship Type="http://schemas.openxmlformats.org/officeDocument/2006/relationships/hyperlink" Id="rId62" Target="https://doi.org/10.1111/j.1467-9868.2007.00593.x" TargetMode="External" /><Relationship Type="http://schemas.openxmlformats.org/officeDocument/2006/relationships/hyperlink" Id="rId72" Target="https://doi.org/10.1177/1948550617697177" TargetMode="External" /><Relationship Type="http://schemas.openxmlformats.org/officeDocument/2006/relationships/hyperlink" Id="rId80" Target="https://doi.org/10.15607/RSS.2024.XX.050" TargetMode="External" /><Relationship Type="http://schemas.openxmlformats.org/officeDocument/2006/relationships/hyperlink" Id="rId92" Target="https://doi.org/10.15607/RSS.2026.XXII.096" TargetMode="External" /><Relationship Type="http://schemas.openxmlformats.org/officeDocument/2006/relationships/hyperlink" Id="rId64" Target="https://doi.org/10.48550/arXiv.2304.05969" TargetMode="External" /><Relationship Type="http://schemas.openxmlformats.org/officeDocument/2006/relationships/hyperlink" Id="rId74" Target="https://doi.org/10.48550/arXiv.2503.00200" TargetMode="External" /><Relationship Type="http://schemas.openxmlformats.org/officeDocument/2006/relationships/hyperlink" Id="rId94" Target="https://doi.org/10.48550/arXiv.2602.15922" TargetMode="External" /><Relationship Type="http://schemas.openxmlformats.org/officeDocument/2006/relationships/hyperlink" Id="rId96" Target="https://doi.org/10.48550/arXiv.2603.16666" TargetMode="External" /><Relationship Type="http://schemas.openxmlformats.org/officeDocument/2006/relationships/hyperlink" Id="rId82" Target="https://doi.org/10.48550/arXiv.2606.02800" TargetMode="External" /><Relationship Type="http://schemas.openxmlformats.org/officeDocument/2006/relationships/hyperlink" Id="rId86" Target="https://doi.org/10.48550/arXiv.2606.12217" TargetMode="External" /><Relationship Type="http://schemas.openxmlformats.org/officeDocument/2006/relationships/hyperlink" Id="rId88" Target="https://doi.org/10.48550/arXiv.2606.27510" TargetMode="External" /><Relationship Type="http://schemas.openxmlformats.org/officeDocument/2006/relationships/hyperlink" Id="rId102" Target="https://doi.org/10.48550/arXiv.2608.04404" TargetMode="External" /><Relationship Type="http://schemas.openxmlformats.org/officeDocument/2006/relationships/hyperlink" Id="rId98" Target="https://doi.org/10.48550/arXiv.2608.11521" TargetMode="External" /><Relationship Type="http://schemas.openxmlformats.org/officeDocument/2006/relationships/hyperlink" Id="rId78" Target="https://doi.org/10.52202/068431-1262" TargetMode="External" /><Relationship Type="http://schemas.openxmlformats.org/officeDocument/2006/relationships/hyperlink" Id="rId76" Target="https://doi.org/10.52202/075280-1939" TargetMode="External" /><Relationship Type="http://schemas.openxmlformats.org/officeDocument/2006/relationships/hyperlink" Id="rId66" Target="https://doi.org/10.52202/079017-3570" TargetMode="External" /><Relationship Type="http://schemas.openxmlformats.org/officeDocument/2006/relationships/hyperlink" Id="rId84" Target="https://huggingface.co/nvidia/Cosmos3-Nano-Policy-DROID" TargetMode="External" /><Relationship Type="http://schemas.openxmlformats.org/officeDocument/2006/relationships/hyperlink" Id="rId54" Target="https://neurips.cc/public/EthicsGuidelines" TargetMode="External" /><Relationship Type="http://schemas.openxmlformats.org/officeDocument/2006/relationships/hyperlink" Id="rId53" Target="https://neurips.cc/public/guides/CodeSubmissionPolicy" TargetMode="External" /><Relationship Type="http://schemas.openxmlformats.org/officeDocument/2006/relationships/hyperlink" Id="rId58" Target="https://openreview.net/forum?id=9pKtcJcMP3" TargetMode="External" /><Relationship Type="http://schemas.openxmlformats.org/officeDocument/2006/relationships/hyperlink" Id="rId100" Target="https://openreview.net/forum?id=Hf17y6u9BC" TargetMode="External" /><Relationship Type="http://schemas.openxmlformats.org/officeDocument/2006/relationships/hyperlink" Id="rId70" Target="https://openreview.net/forum?id=wPEIStHxYH" TargetMode="External" /><Relationship Type="http://schemas.openxmlformats.org/officeDocument/2006/relationships/hyperlink" Id="rId68" Target="https://proceedings.mlr.press/v267/hu25g.html" TargetMode="External" /><Relationship Type="http://schemas.openxmlformats.org/officeDocument/2006/relationships/hyperlink" Id="rId90" Target="https://proceedings.neurips.cc/paper/2020/hash/92650b2e92217715fe312e6fa7b90d82-Abstract.html" TargetMode="External" /><Relationship Type="http://schemas.openxmlformats.org/officeDocument/2006/relationships/hyperlink" Id="rId56" Target="https://proceedings.neurips.cc/paper_files/paper/2023/hash/1d5b9233ad716a43be5c0d3023cb82d0-Abstract.html" TargetMode="External" /><Relationship Type="http://schemas.openxmlformats.org/officeDocument/2006/relationships/hyperlink" Id="rId55" Target="paperswithcode.com/datasets" TargetMode="External" /></Relationships>
</file>

<file path=word/_rels/footnotes.xml.rels><?xml version="1.0" encoding="UTF-8"?><Relationships xmlns="http://schemas.openxmlformats.org/package/2006/relationships"><Relationship Type="http://schemas.openxmlformats.org/officeDocument/2006/relationships/hyperlink" Id="rId60" Target="https://arxiv.org/abs/1812.00568" TargetMode="External" /><Relationship Type="http://schemas.openxmlformats.org/officeDocument/2006/relationships/hyperlink" Id="rId62" Target="https://doi.org/10.1111/j.1467-9868.2007.00593.x" TargetMode="External" /><Relationship Type="http://schemas.openxmlformats.org/officeDocument/2006/relationships/hyperlink" Id="rId72" Target="https://doi.org/10.1177/1948550617697177" TargetMode="External" /><Relationship Type="http://schemas.openxmlformats.org/officeDocument/2006/relationships/hyperlink" Id="rId80" Target="https://doi.org/10.15607/RSS.2024.XX.050" TargetMode="External" /><Relationship Type="http://schemas.openxmlformats.org/officeDocument/2006/relationships/hyperlink" Id="rId92" Target="https://doi.org/10.15607/RSS.2026.XXII.096" TargetMode="External" /><Relationship Type="http://schemas.openxmlformats.org/officeDocument/2006/relationships/hyperlink" Id="rId64" Target="https://doi.org/10.48550/arXiv.2304.05969" TargetMode="External" /><Relationship Type="http://schemas.openxmlformats.org/officeDocument/2006/relationships/hyperlink" Id="rId74" Target="https://doi.org/10.48550/arXiv.2503.00200" TargetMode="External" /><Relationship Type="http://schemas.openxmlformats.org/officeDocument/2006/relationships/hyperlink" Id="rId94" Target="https://doi.org/10.48550/arXiv.2602.15922" TargetMode="External" /><Relationship Type="http://schemas.openxmlformats.org/officeDocument/2006/relationships/hyperlink" Id="rId96" Target="https://doi.org/10.48550/arXiv.2603.16666" TargetMode="External" /><Relationship Type="http://schemas.openxmlformats.org/officeDocument/2006/relationships/hyperlink" Id="rId82" Target="https://doi.org/10.48550/arXiv.2606.02800" TargetMode="External" /><Relationship Type="http://schemas.openxmlformats.org/officeDocument/2006/relationships/hyperlink" Id="rId86" Target="https://doi.org/10.48550/arXiv.2606.12217" TargetMode="External" /><Relationship Type="http://schemas.openxmlformats.org/officeDocument/2006/relationships/hyperlink" Id="rId88" Target="https://doi.org/10.48550/arXiv.2606.27510" TargetMode="External" /><Relationship Type="http://schemas.openxmlformats.org/officeDocument/2006/relationships/hyperlink" Id="rId102" Target="https://doi.org/10.48550/arXiv.2608.04404" TargetMode="External" /><Relationship Type="http://schemas.openxmlformats.org/officeDocument/2006/relationships/hyperlink" Id="rId98" Target="https://doi.org/10.48550/arXiv.2608.11521" TargetMode="External" /><Relationship Type="http://schemas.openxmlformats.org/officeDocument/2006/relationships/hyperlink" Id="rId78" Target="https://doi.org/10.52202/068431-1262" TargetMode="External" /><Relationship Type="http://schemas.openxmlformats.org/officeDocument/2006/relationships/hyperlink" Id="rId76" Target="https://doi.org/10.52202/075280-1939" TargetMode="External" /><Relationship Type="http://schemas.openxmlformats.org/officeDocument/2006/relationships/hyperlink" Id="rId66" Target="https://doi.org/10.52202/079017-3570" TargetMode="External" /><Relationship Type="http://schemas.openxmlformats.org/officeDocument/2006/relationships/hyperlink" Id="rId84" Target="https://huggingface.co/nvidia/Cosmos3-Nano-Policy-DROID" TargetMode="External" /><Relationship Type="http://schemas.openxmlformats.org/officeDocument/2006/relationships/hyperlink" Id="rId54" Target="https://neurips.cc/public/EthicsGuidelines" TargetMode="External" /><Relationship Type="http://schemas.openxmlformats.org/officeDocument/2006/relationships/hyperlink" Id="rId53" Target="https://neurips.cc/public/guides/CodeSubmissionPolicy" TargetMode="External" /><Relationship Type="http://schemas.openxmlformats.org/officeDocument/2006/relationships/hyperlink" Id="rId58" Target="https://openreview.net/forum?id=9pKtcJcMP3" TargetMode="External" /><Relationship Type="http://schemas.openxmlformats.org/officeDocument/2006/relationships/hyperlink" Id="rId100" Target="https://openreview.net/forum?id=Hf17y6u9BC" TargetMode="External" /><Relationship Type="http://schemas.openxmlformats.org/officeDocument/2006/relationships/hyperlink" Id="rId70" Target="https://openreview.net/forum?id=wPEIStHxYH" TargetMode="External" /><Relationship Type="http://schemas.openxmlformats.org/officeDocument/2006/relationships/hyperlink" Id="rId68" Target="https://proceedings.mlr.press/v267/hu25g.html" TargetMode="External" /><Relationship Type="http://schemas.openxmlformats.org/officeDocument/2006/relationships/hyperlink" Id="rId90" Target="https://proceedings.neurips.cc/paper/2020/hash/92650b2e92217715fe312e6fa7b90d82-Abstract.html" TargetMode="External" /><Relationship Type="http://schemas.openxmlformats.org/officeDocument/2006/relationships/hyperlink" Id="rId56" Target="https://proceedings.neurips.cc/paper_files/paper/2023/hash/1d5b9233ad716a43be5c0d3023cb82d0-Abstract.html" TargetMode="External" /><Relationship Type="http://schemas.openxmlformats.org/officeDocument/2006/relationships/hyperlink" Id="rId55" Target="paperswithcode.com/datas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2026-09-02T09:08:34Z</dcterms:created>
  <dcterms:modified xsi:type="dcterms:W3CDTF">2026-09-02T09:08:34Z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