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73F67" w14:textId="77777777" w:rsidR="00CB52D4" w:rsidRPr="00C456E6" w:rsidRDefault="00000000">
      <w:pPr>
        <w:spacing w:after="120"/>
        <w:jc w:val="center"/>
        <w:rPr>
          <w:color w:val="000000" w:themeColor="text1"/>
          <w:sz w:val="24"/>
          <w:szCs w:val="24"/>
        </w:rPr>
      </w:pPr>
      <w:r w:rsidRPr="00C456E6">
        <w:rPr>
          <w:rFonts w:eastAsia="Calibri"/>
          <w:b/>
          <w:bCs/>
          <w:color w:val="000000" w:themeColor="text1"/>
          <w:sz w:val="24"/>
          <w:szCs w:val="24"/>
        </w:rPr>
        <w:t>Development and Evaluation of a Local, Offline Conversational Triage and Symptom-Mapping Agent Using Quantized LLMs and Retrieval-Augmented Generation</w:t>
      </w:r>
    </w:p>
    <w:p w14:paraId="63E82D87" w14:textId="77777777" w:rsidR="00CB52D4" w:rsidRPr="00C456E6" w:rsidRDefault="00CB52D4">
      <w:pPr>
        <w:spacing w:after="200"/>
        <w:rPr>
          <w:color w:val="000000" w:themeColor="text1"/>
          <w:sz w:val="24"/>
          <w:szCs w:val="24"/>
        </w:rPr>
      </w:pPr>
    </w:p>
    <w:p w14:paraId="5D278F73" w14:textId="77777777" w:rsidR="00CB52D4" w:rsidRPr="00C456E6" w:rsidRDefault="00000000">
      <w:pPr>
        <w:spacing w:after="100"/>
        <w:jc w:val="center"/>
        <w:rPr>
          <w:color w:val="000000" w:themeColor="text1"/>
          <w:sz w:val="24"/>
          <w:szCs w:val="24"/>
        </w:rPr>
      </w:pPr>
      <w:r w:rsidRPr="00C456E6">
        <w:rPr>
          <w:rFonts w:eastAsia="Calibri"/>
          <w:color w:val="000000" w:themeColor="text1"/>
          <w:sz w:val="24"/>
          <w:szCs w:val="24"/>
        </w:rPr>
        <w:t>[Candidate Name]</w:t>
      </w:r>
    </w:p>
    <w:p w14:paraId="51B70ED6" w14:textId="77777777" w:rsidR="00CB52D4" w:rsidRPr="00C456E6" w:rsidRDefault="00000000">
      <w:pPr>
        <w:spacing w:after="100"/>
        <w:jc w:val="center"/>
        <w:rPr>
          <w:color w:val="000000" w:themeColor="text1"/>
          <w:sz w:val="24"/>
          <w:szCs w:val="24"/>
        </w:rPr>
      </w:pPr>
      <w:r w:rsidRPr="00C456E6">
        <w:rPr>
          <w:rFonts w:eastAsia="Calibri"/>
          <w:color w:val="000000" w:themeColor="text1"/>
          <w:sz w:val="24"/>
          <w:szCs w:val="24"/>
        </w:rPr>
        <w:t>[Department / School — University Name]</w:t>
      </w:r>
    </w:p>
    <w:p w14:paraId="76C0FC55" w14:textId="77777777" w:rsidR="00CB52D4" w:rsidRPr="00C456E6" w:rsidRDefault="00000000">
      <w:pPr>
        <w:spacing w:after="100"/>
        <w:jc w:val="center"/>
        <w:rPr>
          <w:color w:val="000000" w:themeColor="text1"/>
          <w:sz w:val="24"/>
          <w:szCs w:val="24"/>
        </w:rPr>
      </w:pPr>
      <w:r w:rsidRPr="00C456E6">
        <w:rPr>
          <w:rFonts w:eastAsia="Calibri"/>
          <w:color w:val="000000" w:themeColor="text1"/>
          <w:sz w:val="24"/>
          <w:szCs w:val="24"/>
        </w:rPr>
        <w:t>Prospective Supervisor(s): [Name(s)]</w:t>
      </w:r>
    </w:p>
    <w:p w14:paraId="649D4BDA" w14:textId="77777777" w:rsidR="00CB52D4" w:rsidRPr="00C456E6" w:rsidRDefault="00000000">
      <w:pPr>
        <w:spacing w:after="100"/>
        <w:jc w:val="center"/>
        <w:rPr>
          <w:color w:val="000000" w:themeColor="text1"/>
          <w:sz w:val="24"/>
          <w:szCs w:val="24"/>
        </w:rPr>
      </w:pPr>
      <w:r w:rsidRPr="00C456E6">
        <w:rPr>
          <w:rFonts w:eastAsia="Calibri"/>
          <w:color w:val="000000" w:themeColor="text1"/>
          <w:sz w:val="24"/>
          <w:szCs w:val="24"/>
        </w:rPr>
        <w:t>[Month Year]</w:t>
      </w:r>
    </w:p>
    <w:p w14:paraId="0173D785" w14:textId="77777777" w:rsidR="00CB52D4" w:rsidRPr="00C456E6" w:rsidRDefault="00CB52D4">
      <w:pPr>
        <w:spacing w:after="200"/>
        <w:rPr>
          <w:color w:val="000000" w:themeColor="text1"/>
          <w:sz w:val="24"/>
          <w:szCs w:val="24"/>
        </w:rPr>
      </w:pPr>
    </w:p>
    <w:p w14:paraId="541FBD51"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Abstract</w:t>
      </w:r>
    </w:p>
    <w:p w14:paraId="60AEA883"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Implementing conversational AI for pre-clinical triage faces two significant challenges: cloud-based inference risks exposing protected health information and raises regulatory concerns under HIPAA and GDPR, while generative models are still susceptible to hallucinations, particularly in scenarios where misidentifying a medical emergency is most perilous.</w:t>
      </w:r>
    </w:p>
    <w:p w14:paraId="278397F6"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This project proposes to design, build, and evaluate a completely local, offline Conversational Triage and Symptom-Mapping Agent, executed across seven sequential, gated phases rather than a single undifferentiated build: (I) benchmarking a local inference pipeline across quantized model families and hardware tiers, and constructing a curated, provenance-logged retrieval-augmented generation (RAG) corpus; (II) implementing a dual-layer (deterministic keyword plus semantic LLM) safety guardrail ahead of RAG-grounded, constrained dialogue; (III) defining and running a multi-dataset factual-competency benchmark alongside a purpose-built, synthetically generated multi-turn triage vignette testbed, scored independently by an automated rubric and an LLM judge; (IV) diagnosing the source of any guardrail false positives revealed by that testbed through structured clustering analysis; (V) restructuring the guardrail from a binary escalate/do-not-escalate decision into an ordinal three-tier (routine/urgent/emergency) classification, evaluated with ordinal-aware metrics rather than accuracy alone; (VI) diagnosing and directly targeting the dominant residual failure mode with a borderline-case clarification mechanism; and (VII) delivering a web-based chat interface that exposes the full pipeline for interactive, real-time use, with any departure from the offline-architecture guarantee explicitly documented.</w:t>
      </w:r>
    </w:p>
    <w:p w14:paraId="7E698132"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A defining feature of the proposed methodology is that the reliability of the evaluation methods themselves is treated as an object of study at every phase: automated scoring approaches (LLM-judge relevance scoring, rubric/LLM-judge concordance, retrieval-quality estimates) will be checked against independent or gold-standard baselines before any headline figure is reported, and negative or partial results are expected to be reported alongside positive ones rather than omitted. The project is expected to deliver a replicable hybrid safety architecture, a validated, reliability-checked evaluation protocol for triage safety and factuality, and quantitative evidence on the accuracy-latency-privacy trade-off space for on-device clinical dialogue systems — with contribution claims explicitly bounded by corpus-licensing status, test-material provenance, and the distinction between ceiling (best-case) and real-world performance estimates.</w:t>
      </w:r>
    </w:p>
    <w:p w14:paraId="308E4A49"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1. Introduction and Background</w:t>
      </w:r>
    </w:p>
    <w:p w14:paraId="5DC49461"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lastRenderedPageBreak/>
        <w:t>The integration of conversational artificial intelligence into healthcare offers substantial potential for pre-clinical triage, symptom mapping, and patient communication. Large Language Models (LLMs) and Vision-Language Models (VLMs) can support flexible, multi-turn natural-language dialogue with patients in ways that rigid rule-based triage systems cannot. However, two bottlenecks currently block responsible clinical deployment.</w:t>
      </w:r>
    </w:p>
    <w:p w14:paraId="597D407A" w14:textId="24752D6A" w:rsidR="00CB52D4" w:rsidRPr="00C456E6" w:rsidRDefault="00000000">
      <w:pPr>
        <w:spacing w:after="160"/>
        <w:rPr>
          <w:color w:val="000000" w:themeColor="text1"/>
          <w:sz w:val="24"/>
          <w:szCs w:val="24"/>
        </w:rPr>
      </w:pPr>
      <w:r w:rsidRPr="00C456E6">
        <w:rPr>
          <w:rFonts w:eastAsia="Calibri"/>
          <w:color w:val="000000" w:themeColor="text1"/>
          <w:sz w:val="24"/>
          <w:szCs w:val="24"/>
        </w:rPr>
        <w:t xml:space="preserve">First, data privacy and regulatory compliance: cloud-API architectures require transmitting patient utterances to third-party infrastructure, which is difficult to reconcile with </w:t>
      </w:r>
      <w:r w:rsidR="00C456E6" w:rsidRPr="00C456E6">
        <w:rPr>
          <w:rFonts w:eastAsia="Calibri"/>
          <w:color w:val="000000" w:themeColor="text1"/>
          <w:sz w:val="24"/>
          <w:szCs w:val="24"/>
        </w:rPr>
        <w:t>Health Insurance Portability and Accountability Act</w:t>
      </w:r>
      <w:r w:rsidR="00C456E6" w:rsidRPr="00C456E6">
        <w:rPr>
          <w:rFonts w:eastAsia="Calibri"/>
          <w:color w:val="000000" w:themeColor="text1"/>
          <w:sz w:val="24"/>
          <w:szCs w:val="24"/>
        </w:rPr>
        <w:t xml:space="preserve"> </w:t>
      </w:r>
      <w:r w:rsidR="00C456E6">
        <w:rPr>
          <w:rFonts w:eastAsia="Calibri"/>
          <w:color w:val="000000" w:themeColor="text1"/>
          <w:sz w:val="24"/>
          <w:szCs w:val="24"/>
        </w:rPr>
        <w:t>,</w:t>
      </w:r>
      <w:r w:rsidRPr="00C456E6">
        <w:rPr>
          <w:rFonts w:eastAsia="Calibri"/>
          <w:color w:val="000000" w:themeColor="text1"/>
          <w:sz w:val="24"/>
          <w:szCs w:val="24"/>
        </w:rPr>
        <w:t xml:space="preserve">HIPAA, </w:t>
      </w:r>
      <w:r w:rsidR="00C456E6" w:rsidRPr="00C456E6">
        <w:rPr>
          <w:sz w:val="24"/>
          <w:szCs w:val="24"/>
        </w:rPr>
        <w:t xml:space="preserve">General Data Protection Regulation </w:t>
      </w:r>
      <w:r w:rsidRPr="00C456E6">
        <w:rPr>
          <w:rFonts w:eastAsia="Calibri"/>
          <w:color w:val="000000" w:themeColor="text1"/>
          <w:sz w:val="24"/>
          <w:szCs w:val="24"/>
        </w:rPr>
        <w:t>GDPR, and equivalent regional frameworks, and is frequently cited as the leading adoption barrier for LLM-based clinical tools among healthcare organizations.</w:t>
      </w:r>
    </w:p>
    <w:p w14:paraId="351F7019"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Second, clinical safety and hallucination: generative models fabricate plausible but false clinical content and can fail silently on life-threatening presentations — the single failure mode a triage system cannot tolerate. Standard RAG pipelines reduce, but do not eliminate, this risk, and some recent clinical evaluations show the benefit of RAG is highly dependent on how the retrieved evidence is structured and grounded, rather than being automatic.</w:t>
      </w:r>
    </w:p>
    <w:p w14:paraId="121C3884"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Recent work has begun to address each bottleneck in isolation — on-device deployment of quantized models on consumer hardware, RAG-grounded clinical assistants, and federated or PHI-compliant clinical decision-support pipelines — but there is no established, empirically benchmarked architecture that jointly optimizes all three constraints (privacy, safety, and edge efficiency) for the specific task of conversational pre-triage. This project addresses that gap by designing, implementing, and evaluating a Local, Offline Conversational Triage and Symptom-Mapping Agent that executes entirely on-premise using quantized open-source weights, combining deterministic symbolic safety guardrails with localised RAG.</w:t>
      </w:r>
    </w:p>
    <w:p w14:paraId="5FB0D3B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Rather than building and evaluating this system as a single monolithic deliverable, the project is deliberately structured as seven sequential, gated phases (Section 4), each of which produces a falsifiable result that determines the design of the phase that follows — infrastructure and corpus validation, guardrail implementation, stress-testing, failure-mode diagnosis, guardrail redesign, targeted remediation, and finally interactive deployment. This gated structure is itself a methodological commitment: no phase's architecture is finalized before its predecessor's evaluation results are in hand.</w:t>
      </w:r>
    </w:p>
    <w:p w14:paraId="1DB7741E"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2. Literature Review and Related Work</w:t>
      </w:r>
    </w:p>
    <w:p w14:paraId="21EE6BCE"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2.1 On-device and edge deployment of clinical LLMs</w:t>
      </w:r>
    </w:p>
    <w:p w14:paraId="52AA8D8F"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Model compression has made sub-10B-parameter LLMs viable for interactive use on consumer and mobile hardware, with 4-bit quantization schemes such as GGUF/GPTQ/AWQ reported to cut memory footprint by roughly three-quarters while incurring minor accuracy loss.</w:t>
      </w:r>
    </w:p>
    <w:p w14:paraId="74058AF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In the clinical field, a zero-egress on-device framework for psychiatric decision support has shown that a combination of quantized, fine-tuned lightweight models (Gemma, Phi-3.5-mini, Qwen2) can operate entirely offline on mobile devices, ensuring no data exits the device, thus advancing previous server-side LLM-consortium efforts into a privacy-sensitive mobile implementation.</w:t>
      </w:r>
    </w:p>
    <w:p w14:paraId="13B18578"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lastRenderedPageBreak/>
        <w:t>Separately, a federated-learning-based clinical decision-support architecture for emergency triage has shown that quantized LLM serving can meet sub-few-second latency targets for urgent events while keeping institutional data under local control.</w:t>
      </w:r>
    </w:p>
    <w:p w14:paraId="1C5A0E9C"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Domain-adapted open-weight models such as MedGemma-27B have further shown that clinical-domain fine-tuning can be combined with fully local, quantized inference to satisfy HIPAA/GDPR data-sovereignty requirements without sacrificing clinical-text performance.</w:t>
      </w:r>
    </w:p>
    <w:p w14:paraId="45EF2B1F"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These results establish edge feasibility but leave open how such systems perform specifically on multi-turn, patient-facing triage dialogue rather than single-shot classification or extraction tasks — and, as importantly, how reliably that performance can be measured, a question this proposal treats as a first-class concern rather than an afterthought (Section 4).</w:t>
      </w:r>
    </w:p>
    <w:p w14:paraId="035623CD"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2.2 Retrieval-augmented generation and hallucination mitigation</w:t>
      </w:r>
    </w:p>
    <w:p w14:paraId="1AA8134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RAG is widely regarded as the most effective lever for grounding clinical LLM output in verifiable source material, and a recent systematic comparison of RAG versus fine-tuning for hallucination mitigation in medical LLMs concludes that RAG is the stronger choice specifically for patient-facing safety, while fine-tuning is better suited to stylistic or workflow adaptation.</w:t>
      </w:r>
    </w:p>
    <w:p w14:paraId="3CF8D0FB"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Empirical support comes from a controlled evaluation of a local, RAG-augmented Llama-3.2-11B model for radiology contrast-media consultation, which found that RAG eliminated observed hallucinations relative to the ungrounded baseline and produced faster response times than several cloud-hosted comparators, though a performance gap to frontier cloud models persisted.</w:t>
      </w:r>
    </w:p>
    <w:p w14:paraId="3075F185"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Nonetheless, this advantage isn't guaranteed: a recent structured-artifact analysis suggests that naive RAG applied to unprocessed clinical text falls short in scenarios with high information density and temporal complexity, and that representations of patient data with explicit provenance tracking surpass basic document retrieval methods. Boundary-aware, rather than fixed-length, chunking is likewise reported to materially affect retrieval accuracy on medical documents, motivating this project's treatment of chunking strategy as an explicit, tested design variable in Phase I rather than an assumed default.</w:t>
      </w:r>
    </w:p>
    <w:p w14:paraId="37BF47F8"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This tension — RAG as a powerful yet conditional safety mechanism — drives the design of Phase II of this project, which considers RAG grounding as one component within a multi-tier safety framework instead of the only protection.</w:t>
      </w:r>
    </w:p>
    <w:p w14:paraId="4038C7F7"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2.3 Guardrails and hybrid symbolic-neural safety architectures</w:t>
      </w:r>
    </w:p>
    <w:p w14:paraId="5D5C2486"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This reinforces the essential architectural hypothesis of the proposed project: a deterministic, auditable symbolic framework for emergency identification (where false negatives cannot be tolerated) positioned alongside a semantic, LLM-based reasoning layer (where coverage of paraphrased or implicit presentations matters), with the two layers combined by taking the higher-risk signal rather than either overriding the other.</w:t>
      </w:r>
    </w:p>
    <w:p w14:paraId="32F201B2"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 xml:space="preserve">There is no published system that assesses this unique combination — keyword/rule-based emergency interception combined with semantic intent classification and local RAG, refined against an ordinal (routine/urgent/emergency) rather than binary output space — using a </w:t>
      </w:r>
      <w:r w:rsidRPr="00C456E6">
        <w:rPr>
          <w:rFonts w:eastAsia="Calibri"/>
          <w:color w:val="000000" w:themeColor="text1"/>
          <w:sz w:val="24"/>
          <w:szCs w:val="24"/>
        </w:rPr>
        <w:lastRenderedPageBreak/>
        <w:t>dedicated triage-safety benchmark on consumer edge devices, which forms the particular novelty assertion of this proposal.</w:t>
      </w:r>
    </w:p>
    <w:p w14:paraId="0937DB6A"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2.4 Evaluation resources</w:t>
      </w:r>
    </w:p>
    <w:p w14:paraId="3EE92B81"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 xml:space="preserve">Standard medical question-answering benchmarks — </w:t>
      </w:r>
      <w:proofErr w:type="spellStart"/>
      <w:r w:rsidRPr="00C456E6">
        <w:rPr>
          <w:rFonts w:eastAsia="Calibri"/>
          <w:color w:val="000000" w:themeColor="text1"/>
          <w:sz w:val="24"/>
          <w:szCs w:val="24"/>
        </w:rPr>
        <w:t>MedQA</w:t>
      </w:r>
      <w:proofErr w:type="spellEnd"/>
      <w:r w:rsidRPr="00C456E6">
        <w:rPr>
          <w:rFonts w:eastAsia="Calibri"/>
          <w:color w:val="000000" w:themeColor="text1"/>
          <w:sz w:val="24"/>
          <w:szCs w:val="24"/>
        </w:rPr>
        <w:t xml:space="preserve"> (USMLE-style vignettes), </w:t>
      </w:r>
      <w:proofErr w:type="spellStart"/>
      <w:r w:rsidRPr="00C456E6">
        <w:rPr>
          <w:rFonts w:eastAsia="Calibri"/>
          <w:color w:val="000000" w:themeColor="text1"/>
          <w:sz w:val="24"/>
          <w:szCs w:val="24"/>
        </w:rPr>
        <w:t>MedMCQA</w:t>
      </w:r>
      <w:proofErr w:type="spellEnd"/>
      <w:r w:rsidRPr="00C456E6">
        <w:rPr>
          <w:rFonts w:eastAsia="Calibri"/>
          <w:color w:val="000000" w:themeColor="text1"/>
          <w:sz w:val="24"/>
          <w:szCs w:val="24"/>
        </w:rPr>
        <w:t xml:space="preserve"> and </w:t>
      </w:r>
      <w:proofErr w:type="spellStart"/>
      <w:r w:rsidRPr="00C456E6">
        <w:rPr>
          <w:rFonts w:eastAsia="Calibri"/>
          <w:color w:val="000000" w:themeColor="text1"/>
          <w:sz w:val="24"/>
          <w:szCs w:val="24"/>
        </w:rPr>
        <w:t>MedXpertQA</w:t>
      </w:r>
      <w:proofErr w:type="spellEnd"/>
      <w:r w:rsidRPr="00C456E6">
        <w:rPr>
          <w:rFonts w:eastAsia="Calibri"/>
          <w:color w:val="000000" w:themeColor="text1"/>
          <w:sz w:val="24"/>
          <w:szCs w:val="24"/>
        </w:rPr>
        <w:t xml:space="preserve"> (expert-level, multi-specialty reasoning items) — provide validated item banks for testing clinical reasoning, but they are exam-format and multiple-choice, not multi-turn triage dialogue.</w:t>
      </w:r>
    </w:p>
    <w:p w14:paraId="1236BDF8"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 xml:space="preserve">This project will draw on these datasets as a factual-competency component of evaluation while constructing a purpose-built multi-turn triage vignette testbed, since no existing public benchmark directly measures triage-category assignment and emergency-recognition </w:t>
      </w:r>
      <w:proofErr w:type="spellStart"/>
      <w:r w:rsidRPr="00C456E6">
        <w:rPr>
          <w:rFonts w:eastAsia="Calibri"/>
          <w:color w:val="000000" w:themeColor="text1"/>
          <w:sz w:val="24"/>
          <w:szCs w:val="24"/>
        </w:rPr>
        <w:t>behavior</w:t>
      </w:r>
      <w:proofErr w:type="spellEnd"/>
      <w:r w:rsidRPr="00C456E6">
        <w:rPr>
          <w:rFonts w:eastAsia="Calibri"/>
          <w:color w:val="000000" w:themeColor="text1"/>
          <w:sz w:val="24"/>
          <w:szCs w:val="24"/>
        </w:rPr>
        <w:t xml:space="preserve"> in conversational form. Because automated scorers — whether an LLM-as-judge or a synthetically labelled ground truth — are themselves an unproven measurement instrument in this setting, the evaluation design (Section 4, Phases I, III, and V) treats scorer reliability as something to be independently checked at each phase, not assumed from the outset.</w:t>
      </w:r>
    </w:p>
    <w:p w14:paraId="59229F38"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3. Research Questions and Objectives</w:t>
      </w:r>
    </w:p>
    <w:p w14:paraId="2043162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This project is organized around three research questions, each addressed primarily in specific phases of the methodology described in Section 4, together with a methodological commitment that runs across all phases.</w:t>
      </w:r>
    </w:p>
    <w:p w14:paraId="48B61589" w14:textId="77777777" w:rsidR="00CB52D4" w:rsidRPr="00C456E6" w:rsidRDefault="00000000">
      <w:pPr>
        <w:spacing w:after="160"/>
        <w:rPr>
          <w:color w:val="000000" w:themeColor="text1"/>
          <w:sz w:val="24"/>
          <w:szCs w:val="24"/>
        </w:rPr>
      </w:pPr>
      <w:r w:rsidRPr="00C456E6">
        <w:rPr>
          <w:rFonts w:eastAsia="Calibri"/>
          <w:b/>
          <w:bCs/>
          <w:color w:val="000000" w:themeColor="text1"/>
          <w:sz w:val="24"/>
          <w:szCs w:val="24"/>
        </w:rPr>
        <w:t xml:space="preserve">RQ1 (Safety architecture): </w:t>
      </w:r>
      <w:r w:rsidRPr="00C456E6">
        <w:rPr>
          <w:rFonts w:eastAsia="Calibri"/>
          <w:color w:val="000000" w:themeColor="text1"/>
          <w:sz w:val="24"/>
          <w:szCs w:val="24"/>
        </w:rPr>
        <w:t>To what extent does a hybrid symbolic (deterministic keyword-pattern) and semantic (LLM-based classifier) safety guardrail layer reduce missed-emergency, false-negative triage outcomes toward zero, relative to either layer operating alone — and what failure modes does that hybrid architecture itself introduce that require diagnosis and correction before the reduction can be trusted? (Addressed in Phases II, III, IV, V, and VI.)</w:t>
      </w:r>
    </w:p>
    <w:p w14:paraId="0C64FF2A" w14:textId="77777777" w:rsidR="00CB52D4" w:rsidRPr="00C456E6" w:rsidRDefault="00000000">
      <w:pPr>
        <w:spacing w:after="160"/>
        <w:rPr>
          <w:color w:val="000000" w:themeColor="text1"/>
          <w:sz w:val="24"/>
          <w:szCs w:val="24"/>
        </w:rPr>
      </w:pPr>
      <w:r w:rsidRPr="00C456E6">
        <w:rPr>
          <w:rFonts w:eastAsia="Calibri"/>
          <w:b/>
          <w:bCs/>
          <w:color w:val="000000" w:themeColor="text1"/>
          <w:sz w:val="24"/>
          <w:szCs w:val="24"/>
        </w:rPr>
        <w:t xml:space="preserve">RQ2 (Grounding): </w:t>
      </w:r>
      <w:r w:rsidRPr="00C456E6">
        <w:rPr>
          <w:rFonts w:eastAsia="Calibri"/>
          <w:color w:val="000000" w:themeColor="text1"/>
          <w:sz w:val="24"/>
          <w:szCs w:val="24"/>
        </w:rPr>
        <w:t>Does grounding the triage agent's dialogue in a curated, offline retrieval-augmented generation (RAG) corpus improve the clinical relevance and reliability of its responses relative to ungrounded generation, and can retrieval quality itself be evaluated reliably given that naive LLM-judge scoring of retrieval relevance is not assumed to be trustworthy by default? (Addressed in Phases I and III.)</w:t>
      </w:r>
    </w:p>
    <w:p w14:paraId="199DB24C" w14:textId="77777777" w:rsidR="00CB52D4" w:rsidRPr="00C456E6" w:rsidRDefault="00000000">
      <w:pPr>
        <w:spacing w:after="160"/>
        <w:rPr>
          <w:color w:val="000000" w:themeColor="text1"/>
          <w:sz w:val="24"/>
          <w:szCs w:val="24"/>
        </w:rPr>
      </w:pPr>
      <w:r w:rsidRPr="00C456E6">
        <w:rPr>
          <w:rFonts w:eastAsia="Calibri"/>
          <w:b/>
          <w:bCs/>
          <w:color w:val="000000" w:themeColor="text1"/>
          <w:sz w:val="24"/>
          <w:szCs w:val="24"/>
        </w:rPr>
        <w:t xml:space="preserve">RQ3 (Edge feasibility): </w:t>
      </w:r>
      <w:r w:rsidRPr="00C456E6">
        <w:rPr>
          <w:rFonts w:eastAsia="Calibri"/>
          <w:color w:val="000000" w:themeColor="text1"/>
          <w:sz w:val="24"/>
          <w:szCs w:val="24"/>
        </w:rPr>
        <w:t>What accuracy, latency, and memory-footprint trade-offs result from running quantized, open-weight LLMs (2B–13B parameters) fully offline across consumer-grade hardware tiers, and what feasibility ceiling do these trade-offs impose on this class of deployment? (Addressed primarily in Phase I.)</w:t>
      </w:r>
    </w:p>
    <w:p w14:paraId="51CDBE63" w14:textId="77777777" w:rsidR="00CB52D4" w:rsidRPr="00C456E6" w:rsidRDefault="00000000">
      <w:pPr>
        <w:pStyle w:val="Heading3"/>
        <w:spacing w:before="200" w:after="100"/>
        <w:rPr>
          <w:color w:val="000000" w:themeColor="text1"/>
        </w:rPr>
      </w:pPr>
      <w:r w:rsidRPr="00C456E6">
        <w:rPr>
          <w:color w:val="000000" w:themeColor="text1"/>
        </w:rPr>
        <w:t>Objectives</w:t>
      </w:r>
    </w:p>
    <w:p w14:paraId="5D0DBF51"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Objective 1 (RQ1): Design a hybrid architecture integrating symbolic and semantic safety guardrails with generative LLM reasoning; stress-test it against a purpose-built adversarial vignette testbed; diagnose the source of any resulting false positives or false negatives through structured clustering analysis; and iteratively refine the guardrail — including restructuring it from a binary to an ordinal three-tier design if the diagnostic evidence supports it — until missed-emergency risk is reduced as close to zero as the evidence permits.</w:t>
      </w:r>
    </w:p>
    <w:p w14:paraId="73718115"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lastRenderedPageBreak/>
        <w:t>Objective 2 (RQ2): Build and index a local RAG pipeline over a curated, provenance-logged biomedical/triage-protocol corpus, using boundary-aware chunking validated against the literature; and evaluate retrieval quality using a gold-standard, source-document-matching method that does not depend on an unverified LLM judge, cross-checking the two approaches against each other where practical.</w:t>
      </w:r>
    </w:p>
    <w:p w14:paraId="6471E9BA"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Objective 3 (RQ3): Implement and benchmark quantization strategies (e.g., GGUF Q4_K_M/Q5_K_M, and where feasible GPTQ/AWQ) across at least three open-weight model families and two hardware tiers, reporting a fully populated accuracy/latency/memory table as the baseline every later phase references.</w:t>
      </w:r>
    </w:p>
    <w:p w14:paraId="01208261"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Objective 4 (methodological, cross-cutting): At every phase where an automated evaluation method could be accepted without scrutiny — LLM-judge relevance scoring, rubric-versus-judge agreement, synthetically assigned ground-truth labels — validate that method against an independent or human baseline before treating its output as a trustworthy result, and report the outcome of that validation (including negative findings) as part of the phase's deliverables rather than only its headline metric.</w:t>
      </w:r>
    </w:p>
    <w:p w14:paraId="573675BD"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Objective 5 (deployment): Deliver a web-based interface exposing the finished pipeline for interactive, real-time use on a single offline machine, with any component that departs from the offline-architecture guarantee (e.g., optional cloud-based voice transcription) explicitly documented and scoped as an opt-in exception rather than a silent one.</w:t>
      </w:r>
    </w:p>
    <w:p w14:paraId="5F4FBDD5"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4. Proposed Methodology</w:t>
      </w:r>
    </w:p>
    <w:p w14:paraId="11328872"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The project is structured as seven sequential, gated phases. Each phase is designed to produce a concrete, falsifiable result — a benchmark table, a confusion matrix, a diagnosed failure cluster — that the next phase's design decisions are conditioned on, rather than proceeding from a fixed architecture decided in advance. This section describes the design and acceptance criteria proposed for each phase.</w:t>
      </w:r>
    </w:p>
    <w:p w14:paraId="5AA93EC0"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Phase I — Architecture and Local Infrastructure Setup</w:t>
      </w:r>
    </w:p>
    <w:p w14:paraId="29D93494"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This phase establishes the two foundations every later phase depends on: (a) a benchmarked local inference pipeline across quantized models and hardware tiers, and (b) a curated, provenance-logged RAG corpus. No safety guardrails or evaluative logic are implemented at this stage; the goal is a clean, quantified baseline.</w:t>
      </w:r>
    </w:p>
    <w:p w14:paraId="0CC2C9A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Candidate open-weight, instruction-tuned model families will include at least three of the Llama, Qwen, Gemma, and Phi series in the 2B–13B parameter range, selected for demonstrated edge-deployment feasibility in the literature reviewed above, since prior work indicates model family — not parameter count alone — materially affects both baseline medical-QA accuracy and quantization resilience. Models will be quantized using at least two representative GGUF formats (e.g., Q4_K_M and Q5_K_M) and served locally via llama.cpp/</w:t>
      </w:r>
      <w:proofErr w:type="spellStart"/>
      <w:r w:rsidRPr="00C456E6">
        <w:rPr>
          <w:rFonts w:eastAsia="Calibri"/>
          <w:color w:val="000000" w:themeColor="text1"/>
          <w:sz w:val="24"/>
          <w:szCs w:val="24"/>
        </w:rPr>
        <w:t>Ollama</w:t>
      </w:r>
      <w:proofErr w:type="spellEnd"/>
      <w:r w:rsidRPr="00C456E6">
        <w:rPr>
          <w:rFonts w:eastAsia="Calibri"/>
          <w:color w:val="000000" w:themeColor="text1"/>
          <w:sz w:val="24"/>
          <w:szCs w:val="24"/>
        </w:rPr>
        <w:t>-class runtimes, verified offline (network interface disabled) as an explicit acceptance criterion rather than assumed from documentation, across two hardware tiers bounding the deployment envelope (a consumer laptop-class CPU/</w:t>
      </w:r>
      <w:proofErr w:type="spellStart"/>
      <w:r w:rsidRPr="00C456E6">
        <w:rPr>
          <w:rFonts w:eastAsia="Calibri"/>
          <w:color w:val="000000" w:themeColor="text1"/>
          <w:sz w:val="24"/>
          <w:szCs w:val="24"/>
        </w:rPr>
        <w:t>iGPU</w:t>
      </w:r>
      <w:proofErr w:type="spellEnd"/>
      <w:r w:rsidRPr="00C456E6">
        <w:rPr>
          <w:rFonts w:eastAsia="Calibri"/>
          <w:color w:val="000000" w:themeColor="text1"/>
          <w:sz w:val="24"/>
          <w:szCs w:val="24"/>
        </w:rPr>
        <w:t xml:space="preserve"> device and a single consumer discrete-GPU workstation).</w:t>
      </w:r>
    </w:p>
    <w:p w14:paraId="27BF4591"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lastRenderedPageBreak/>
        <w:t>A local vector database (e.g., FAISS or Chroma) will be populated with chunked, provenance-tagged triage protocols and guideline material restricted to sources that are publicly available, licensed for reuse or clear of copyright restriction, and clinically authoritative. Chunking strategy will be treated as an explicit variable rather than a fixed default, since the literature indicates naive fixed-length chunking can undermine RAG's safety benefit in medical text; a boundary-aware (paragraph/section) chunking approach will be implemented, and — critically — retrieval quality will be evaluated using a gold-standard, source-document-matching method rather than an unvalidated LLM judge, with the judge-based approach's own reliability checked against a human-agreement sample before it is trusted for anything.</w:t>
      </w:r>
    </w:p>
    <w:p w14:paraId="6FDC981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Phase I is considered complete when: (1) at least three model families run successfully, offline, across both hardware tiers in at least two quantization formats each; (2) a fully populated baseline accuracy/latency/memory table exists with no missing cells; (3) the RAG index returns qualitatively and quantitatively relevant chunks for a held-out gold-standard query set; and (4) a reproducibility log (conversion commands, environment, corpus provenance) is complete enough for independent replication.</w:t>
      </w:r>
    </w:p>
    <w:p w14:paraId="7CC401C5"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Phase II — Hybrid Safety and Reasoning Framework</w:t>
      </w:r>
    </w:p>
    <w:p w14:paraId="0684EB2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Phase II implements the dual-layer safety guardrail and the RAG-grounded, constrained dialogue system on top of the Phase I infrastructure. All user messages will pass through the safety layer before any generative processing occurs; a positive signal from either sub-layer will yield a predetermined, non-generated escalation response, structurally bypassing retrieval and generation for that turn.</w:t>
      </w:r>
    </w:p>
    <w:p w14:paraId="343E62D4"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Layer (a) will be a deterministic keyword/rule matcher sourced directly from the project's own curated corpus documents, chosen for auditability: no model inference, no ambiguity in how a match is determined. It is expected to have near-zero false negatives on red flags stated in plain language, with known blind spots on paraphrased or implicit presentations. Layer (b) will be a locally hosted, prompted (not fine-tuned) semantic intent classifier using chain-of-thought reasoning, designed specifically to cover the gap left by layer (a); fine-tuning a dedicated classifier will be scoped out given the hardware constraints established in Phase I unless those constraints later prove non-binding.</w:t>
      </w:r>
    </w:p>
    <w:p w14:paraId="58623E2C"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Messages that clear both layers will proceed to RAG-grounded generation using Phase I's validated retrieval settings, constrained by a prompt restricting the agent to symptom-mapping and triage-category assignment rather than diagnosis, with a dialogue manager enforcing a minimum number of clarifying-question turns before a category is assigned and a maximum turn count to prevent open-ended questioning.</w:t>
      </w:r>
    </w:p>
    <w:p w14:paraId="4BF8120C"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 xml:space="preserve">Each component (keyword layer, semantic layer, orchestration/short-circuit logic, dialogue-state transitions) will be unit-tested in isolation before any end-to-end run. Phase II is considered complete when: (1) the keyword layer's false-negative rate on direct-language red-flag test cases is documented and near zero; (2) the semantic classifier's agreement with independent human review has been measured, not assumed, using the same reliability-checking method validated in Phase I; (3) the structural no-generation-on-escalation guarantee has been verified by test; and (4) the full pipeline runs end-to-end on the target hardware tier. A specific accuracy target for the semantic classifier is deliberately not set as an exit criterion at this stage, since Phase III's </w:t>
      </w:r>
      <w:r w:rsidRPr="00C456E6">
        <w:rPr>
          <w:rFonts w:eastAsia="Calibri"/>
          <w:color w:val="000000" w:themeColor="text1"/>
          <w:sz w:val="24"/>
          <w:szCs w:val="24"/>
        </w:rPr>
        <w:lastRenderedPageBreak/>
        <w:t>adversarial stress test — not a component-level test — is the appropriate place to establish whether the combined guardrail is reliable.</w:t>
      </w:r>
    </w:p>
    <w:p w14:paraId="06D93E10"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Phase III — Benchmarking and Evaluation Protocol</w:t>
      </w:r>
    </w:p>
    <w:p w14:paraId="572EAE46"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Phase III implements the full benchmarking protocol, combining two deliberately distinct sources of evidence designed to avoid human-subjects research. The protocol, including scoring logic and acceptance criteria, will be specified and locked in before any evaluation run, so that the design cannot be adjusted after outcomes are seen.</w:t>
      </w:r>
    </w:p>
    <w:p w14:paraId="34E091B1"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(1) Factual-competency testing will extend Phase I's single-dataset benchmark to at least three datasets (</w:t>
      </w:r>
      <w:proofErr w:type="spellStart"/>
      <w:r w:rsidRPr="00C456E6">
        <w:rPr>
          <w:rFonts w:eastAsia="Calibri"/>
          <w:color w:val="000000" w:themeColor="text1"/>
          <w:sz w:val="24"/>
          <w:szCs w:val="24"/>
        </w:rPr>
        <w:t>MedQA</w:t>
      </w:r>
      <w:proofErr w:type="spellEnd"/>
      <w:r w:rsidRPr="00C456E6">
        <w:rPr>
          <w:rFonts w:eastAsia="Calibri"/>
          <w:color w:val="000000" w:themeColor="text1"/>
          <w:sz w:val="24"/>
          <w:szCs w:val="24"/>
        </w:rPr>
        <w:t xml:space="preserve">, </w:t>
      </w:r>
      <w:proofErr w:type="spellStart"/>
      <w:r w:rsidRPr="00C456E6">
        <w:rPr>
          <w:rFonts w:eastAsia="Calibri"/>
          <w:color w:val="000000" w:themeColor="text1"/>
          <w:sz w:val="24"/>
          <w:szCs w:val="24"/>
        </w:rPr>
        <w:t>MedMCQA</w:t>
      </w:r>
      <w:proofErr w:type="spellEnd"/>
      <w:r w:rsidRPr="00C456E6">
        <w:rPr>
          <w:rFonts w:eastAsia="Calibri"/>
          <w:color w:val="000000" w:themeColor="text1"/>
          <w:sz w:val="24"/>
          <w:szCs w:val="24"/>
        </w:rPr>
        <w:t xml:space="preserve">, </w:t>
      </w:r>
      <w:proofErr w:type="spellStart"/>
      <w:r w:rsidRPr="00C456E6">
        <w:rPr>
          <w:rFonts w:eastAsia="Calibri"/>
          <w:color w:val="000000" w:themeColor="text1"/>
          <w:sz w:val="24"/>
          <w:szCs w:val="24"/>
        </w:rPr>
        <w:t>MedXpertQA</w:t>
      </w:r>
      <w:proofErr w:type="spellEnd"/>
      <w:r w:rsidRPr="00C456E6">
        <w:rPr>
          <w:rFonts w:eastAsia="Calibri"/>
          <w:color w:val="000000" w:themeColor="text1"/>
          <w:sz w:val="24"/>
          <w:szCs w:val="24"/>
        </w:rPr>
        <w:t>), normalized into a common (question, options, correct answer) schema, and will explicitly check for quantization-induced regressions by comparing each model's accuracy at every tested quantization level against that model's own best-performing level.</w:t>
      </w:r>
    </w:p>
    <w:p w14:paraId="2641FA1C"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(2) A purpose-built multi-turn triage vignette testbed will be generated via LLM-based case simulation grounded in the project's own corpus and validated against published, publicly licensed clinical guideline text. The testbed will span standard presentations (routine/urgent/emergency) and adversarial presentations (paraphrased emergencies, ambiguous borderline cases excluded from strict scoring, and false-alarm triggers designed to test over-escalation), with every vignette receiving a pre-established ground-truth label assigned before any agent response exists.</w:t>
      </w:r>
    </w:p>
    <w:p w14:paraId="4C24D099"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 xml:space="preserve">Every agent response will be scored twice, independently: a rule-based rubric scorer comparing actual escalation </w:t>
      </w:r>
      <w:proofErr w:type="spellStart"/>
      <w:r w:rsidRPr="00C456E6">
        <w:rPr>
          <w:rFonts w:eastAsia="Calibri"/>
          <w:color w:val="000000" w:themeColor="text1"/>
          <w:sz w:val="24"/>
          <w:szCs w:val="24"/>
        </w:rPr>
        <w:t>behavior</w:t>
      </w:r>
      <w:proofErr w:type="spellEnd"/>
      <w:r w:rsidRPr="00C456E6">
        <w:rPr>
          <w:rFonts w:eastAsia="Calibri"/>
          <w:color w:val="000000" w:themeColor="text1"/>
          <w:sz w:val="24"/>
          <w:szCs w:val="24"/>
        </w:rPr>
        <w:t xml:space="preserve"> against the pre-established label, and an independent local LLM judge assessing clinical appropriateness without access to the ground-truth label. Agreement between the two scoring methods will be computed and reported explicitly as a validity check on the protocol itself — consistent with the project's broader commitment to checking, not assuming, evaluation reliability — and any systematic disagreement pattern (e.g., concentrated in one error type) will be treated as evidence warranting further investigation in Phase IV rather than reported as unexplained noise.</w:t>
      </w:r>
    </w:p>
    <w:p w14:paraId="3B6361E9"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Statistical comparison across architectural variants will use paired significance testing appropriate to the metric (e.g., McNemar's test for paired binary escalation outcomes, bootstrap confidence intervals for continuous latency/accuracy metrics), with vignette-testbed sample size guided by a power calculation targeting detection of at least a 10-percentage-point difference in missed-emergency rate between variants.</w:t>
      </w:r>
    </w:p>
    <w:p w14:paraId="6EB009CC"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Phase IV — False-Positive / Failure-Mode Clustering Analysis</w:t>
      </w:r>
    </w:p>
    <w:p w14:paraId="7274D55C"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Where Phase III is expected to reveal a non-trivial rate of guardrail over- or under-triggering, Phase IV will not treat that rate as a terminal result but as a diagnostic starting point. Each error case will be classified along at least two axes established at vignette-generation time — presentation type (standard vs. adversarial) and ground-truth acuity label — to determine whether errors concentrate in the deliberately hard adversarial cases the testbed was built to stress-test, or are more broadly distributed across ordinary presentations (a materially more consequential finding, since it implies the failure is a general calibration property rather than a narrow edge case).</w:t>
      </w:r>
    </w:p>
    <w:p w14:paraId="072A2D2D"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lastRenderedPageBreak/>
        <w:t>Where the rubric/judge disagreement pattern from Phase III implicates vignette-</w:t>
      </w:r>
      <w:proofErr w:type="spellStart"/>
      <w:r w:rsidRPr="00C456E6">
        <w:rPr>
          <w:rFonts w:eastAsia="Calibri"/>
          <w:color w:val="000000" w:themeColor="text1"/>
          <w:sz w:val="24"/>
          <w:szCs w:val="24"/>
        </w:rPr>
        <w:t>labeling</w:t>
      </w:r>
      <w:proofErr w:type="spellEnd"/>
      <w:r w:rsidRPr="00C456E6">
        <w:rPr>
          <w:rFonts w:eastAsia="Calibri"/>
          <w:color w:val="000000" w:themeColor="text1"/>
          <w:sz w:val="24"/>
          <w:szCs w:val="24"/>
        </w:rPr>
        <w:t xml:space="preserve"> ambiguity — particularly around an inherently difficult middle category such as 'urgent' — this phase will explicitly distinguish genuine agent errors from </w:t>
      </w:r>
      <w:proofErr w:type="spellStart"/>
      <w:r w:rsidRPr="00C456E6">
        <w:rPr>
          <w:rFonts w:eastAsia="Calibri"/>
          <w:color w:val="000000" w:themeColor="text1"/>
          <w:sz w:val="24"/>
          <w:szCs w:val="24"/>
        </w:rPr>
        <w:t>labeling</w:t>
      </w:r>
      <w:proofErr w:type="spellEnd"/>
      <w:r w:rsidRPr="00C456E6">
        <w:rPr>
          <w:rFonts w:eastAsia="Calibri"/>
          <w:color w:val="000000" w:themeColor="text1"/>
          <w:sz w:val="24"/>
          <w:szCs w:val="24"/>
        </w:rPr>
        <w:t xml:space="preserve"> artifacts, since conflating the two would misattribute the guardrail's real error rate. Phase IV's output is a set of concrete, evidence-backed hypotheses about the guardrail's dominant failure mode(s), which directly motivate the redesign undertaken in Phase V.</w:t>
      </w:r>
    </w:p>
    <w:p w14:paraId="7813C979"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Phase V — Ordinal (Three-Tier) Triage Classification: Design, Evaluation, and Reproducibility</w:t>
      </w:r>
    </w:p>
    <w:p w14:paraId="2A2514A7"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If Phase IV's diagnosis indicates that a binary escalate/do-not-escalate framing conflates clinically distinct scenarios (cases that cannot be delayed vs. cases that are alarming but not immediately emergent), Phase V will restructure both guardrail layers to output one of three ordinal tiers — routine, urgent, emergency — rather than a binary decision, combining the two layers by taking the higher-risk tier of the two rather than a simple Boolean OR.</w:t>
      </w:r>
    </w:p>
    <w:p w14:paraId="6B962182"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Because the resulting tiers are ordinal and the cost of a two-step error (an emergency mislabelled routine) is categorically worse than a one-step error (emergency mislabelled urgent), evaluation in this phase will go beyond overall accuracy to include a full confusion matrix with per-class precision/recall/F1, an ordinal agreement statistic (quadratic weighted kappa), a cost-weighted error matrix reflecting asymmetric clinical risk, and — reported separately, never folded into a composite score — a dedicated missed-emergency rate. Ground truth for this phase's testbed will be constructed via an AI-assisted draft pass followed by prioritized human review of any case where the draft disagreed with the prior binary system's decision or carried low model confidence, with the draft-and-review workflow explicitly scoped as a reviewer time-saving mechanism rather than a substitute for eventual clinical validation.</w:t>
      </w:r>
    </w:p>
    <w:p w14:paraId="79906611"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Any implementation or reproducibility issues surfaced during this phase — for example, unresolved LLM sampling non-determinism affecting reported accuracy — will be documented and resolved (e.g., via fixed temperature/seed configuration) before results are treated as comparable across runs, consistent with the project's evaluation-reliability discipline.</w:t>
      </w:r>
    </w:p>
    <w:p w14:paraId="33A8A552"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Phase VI — Diagnosis and Targeted Remediation of the Dominant Residual Error Pattern</w:t>
      </w:r>
    </w:p>
    <w:p w14:paraId="67DAFA1A"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Phase V's ordinal evaluation is expected to surface a dominant remaining error pattern rather than randomly distributed error; this phase will identify it precisely (for example, an over-representation of one predicted tier regardless of true tier, or a specific structural condition such as an 'urgent' classification resting entirely on an unchecked single-layer judgment) and design a narrowly targeted intervention aimed at that specific condition, rather than a broad, unfocused re-tuning of the whole pipeline.</w:t>
      </w:r>
    </w:p>
    <w:p w14:paraId="56B9A3F1"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Where the identified condition is a single-shot model judgment with no corroborating deterministic signal, the proposed remediation is a borderline-case clarification mechanism: the dialogue manager asks one targeted follow-up question (e.g., on severity and duration) before committing to that tier, capped at one use per session to avoid repeatedly questioning a user with several ambiguous concerns, and re-evaluates the combined message rather than accepting the original single-shot guess.</w:t>
      </w:r>
    </w:p>
    <w:p w14:paraId="2AD32EFE"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Evaluation of this mechanism will explicitly distinguish an architectural ceiling estimate — obtained using synthetic, clearly-worded follow-up answers derived from each case's known true label, to test whether the mechanism can in principle resolve the error pattern — from a real-</w:t>
      </w:r>
      <w:r w:rsidRPr="00C456E6">
        <w:rPr>
          <w:rFonts w:eastAsia="Calibri"/>
          <w:color w:val="000000" w:themeColor="text1"/>
          <w:sz w:val="24"/>
          <w:szCs w:val="24"/>
        </w:rPr>
        <w:lastRenderedPageBreak/>
        <w:t>world accuracy estimate, which requires either genuine human-authored answers or a live-conversation evaluation. The ceiling result will be reported strictly as evidence of architectural capability, not as a claim about deployed performance, and the proportion of cases that actually trigger the clarification path will be reported alongside the ceiling result, since a majority-of-cases intervention carries a latency and user-burden cost that a narrower, confidence-gated trigger condition might avoid — a refinement identified as candidate future work rather than resolved within this phase.</w:t>
      </w:r>
    </w:p>
    <w:p w14:paraId="02BE82F8" w14:textId="77777777" w:rsidR="00CB52D4" w:rsidRPr="00C456E6" w:rsidRDefault="00000000">
      <w:pPr>
        <w:pStyle w:val="Heading2"/>
        <w:spacing w:before="240" w:after="120"/>
        <w:rPr>
          <w:color w:val="000000" w:themeColor="text1"/>
          <w:sz w:val="24"/>
          <w:szCs w:val="24"/>
        </w:rPr>
      </w:pPr>
      <w:r w:rsidRPr="00C456E6">
        <w:rPr>
          <w:color w:val="000000" w:themeColor="text1"/>
          <w:sz w:val="24"/>
          <w:szCs w:val="24"/>
        </w:rPr>
        <w:t>Phase VII — Graphical User Interface: Design, Implementation, and Reproducibility</w:t>
      </w:r>
    </w:p>
    <w:p w14:paraId="61B31C83"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Having developed and evaluated the inference pipeline, safety architecture, and evaluation methodology using scripts and offline evaluation tooling in Phases I–VI, Phase VII will deliver a web-based chat interface (a local backend exposing chat, reset, and health endpoints, paired with a browser front end) that lets an individual use the same pipeline — dual-layer/tiered safety, RAG-grounded dialogue — directly and monitor it in real time, with per-session dialogue state and CORS access restricted to the local machine, consistent with the offline-architecture guarantee established in Phase I.</w:t>
      </w:r>
    </w:p>
    <w:p w14:paraId="2F59C52E"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If an optional convenience feature (e.g., browser-based voice input) depends on any external network service, this will be explicitly documented as a scoped, opt-in exception to the offline-architecture guarantee rather than a silent one, with the resulting transcription always surfaced to the user for review before submission and the core triage pipeline itself remaining entirely local and network-independent.</w:t>
      </w:r>
    </w:p>
    <w:p w14:paraId="21EE3C4C"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5. Evaluation Framework and Key Metrics</w:t>
      </w:r>
    </w:p>
    <w:p w14:paraId="4B8BE722"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The following metrics will be tracked across all architectural variants and phase-to-phase design changes (e.g., binary-vs-ordinal guardrail, RAG-off ablation, quantization-level sweep) to isolate the contribution of each component and to keep the project's evaluation-reliability commitment auditable across phases.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1800"/>
      </w:tblGrid>
      <w:tr w:rsidR="00CB52D4" w:rsidRPr="00C456E6" w14:paraId="7993FB95" w14:textId="77777777">
        <w:tblPrEx>
          <w:tblCellMar>
            <w:top w:w="0" w:type="dxa"/>
            <w:bottom w:w="0" w:type="dxa"/>
          </w:tblCellMar>
        </w:tblPrEx>
        <w:tc>
          <w:tcPr>
            <w:tcW w:w="2600" w:type="dxa"/>
            <w:shd w:val="clear" w:color="auto" w:fill="D9E2F3"/>
          </w:tcPr>
          <w:p w14:paraId="512ECDAE" w14:textId="77777777" w:rsidR="00CB52D4" w:rsidRPr="00C456E6" w:rsidRDefault="00000000">
            <w:pPr>
              <w:rPr>
                <w:color w:val="000000" w:themeColor="text1"/>
                <w:sz w:val="24"/>
                <w:szCs w:val="24"/>
              </w:rPr>
            </w:pPr>
            <w:r w:rsidRPr="00C456E6">
              <w:rPr>
                <w:rFonts w:eastAsia="Calibri"/>
                <w:b/>
                <w:bCs/>
                <w:color w:val="000000" w:themeColor="text1"/>
                <w:sz w:val="24"/>
                <w:szCs w:val="24"/>
              </w:rPr>
              <w:t>Metric</w:t>
            </w:r>
          </w:p>
        </w:tc>
        <w:tc>
          <w:tcPr>
            <w:tcW w:w="5200" w:type="dxa"/>
            <w:shd w:val="clear" w:color="auto" w:fill="D9E2F3"/>
          </w:tcPr>
          <w:p w14:paraId="0B956D3F" w14:textId="77777777" w:rsidR="00CB52D4" w:rsidRPr="00C456E6" w:rsidRDefault="00000000">
            <w:pPr>
              <w:rPr>
                <w:color w:val="000000" w:themeColor="text1"/>
                <w:sz w:val="24"/>
                <w:szCs w:val="24"/>
              </w:rPr>
            </w:pPr>
            <w:r w:rsidRPr="00C456E6">
              <w:rPr>
                <w:rFonts w:eastAsia="Calibri"/>
                <w:b/>
                <w:bCs/>
                <w:color w:val="000000" w:themeColor="text1"/>
                <w:sz w:val="24"/>
                <w:szCs w:val="24"/>
              </w:rPr>
              <w:t>Definition</w:t>
            </w:r>
          </w:p>
        </w:tc>
        <w:tc>
          <w:tcPr>
            <w:tcW w:w="1800" w:type="dxa"/>
            <w:shd w:val="clear" w:color="auto" w:fill="D9E2F3"/>
          </w:tcPr>
          <w:p w14:paraId="7E8CC5FA" w14:textId="77777777" w:rsidR="00CB52D4" w:rsidRPr="00C456E6" w:rsidRDefault="00000000">
            <w:pPr>
              <w:rPr>
                <w:color w:val="000000" w:themeColor="text1"/>
                <w:sz w:val="24"/>
                <w:szCs w:val="24"/>
              </w:rPr>
            </w:pPr>
            <w:r w:rsidRPr="00C456E6">
              <w:rPr>
                <w:rFonts w:eastAsia="Calibri"/>
                <w:b/>
                <w:bCs/>
                <w:color w:val="000000" w:themeColor="text1"/>
                <w:sz w:val="24"/>
                <w:szCs w:val="24"/>
              </w:rPr>
              <w:t>Primary RQ</w:t>
            </w:r>
          </w:p>
        </w:tc>
      </w:tr>
      <w:tr w:rsidR="00CB52D4" w:rsidRPr="00C456E6" w14:paraId="2A705870" w14:textId="77777777">
        <w:tblPrEx>
          <w:tblCellMar>
            <w:top w:w="0" w:type="dxa"/>
            <w:bottom w:w="0" w:type="dxa"/>
          </w:tblCellMar>
        </w:tblPrEx>
        <w:tc>
          <w:tcPr>
            <w:tcW w:w="2600" w:type="dxa"/>
          </w:tcPr>
          <w:p w14:paraId="3D277565" w14:textId="77777777" w:rsidR="00CB52D4" w:rsidRPr="00C456E6" w:rsidRDefault="00000000">
            <w:pPr>
              <w:rPr>
                <w:color w:val="000000" w:themeColor="text1"/>
                <w:sz w:val="24"/>
                <w:szCs w:val="24"/>
              </w:rPr>
            </w:pPr>
            <w:r w:rsidRPr="00C456E6">
              <w:rPr>
                <w:rFonts w:eastAsia="Calibri"/>
                <w:color w:val="000000" w:themeColor="text1"/>
                <w:sz w:val="24"/>
                <w:szCs w:val="24"/>
              </w:rPr>
              <w:t>Missed-Emergency Rate</w:t>
            </w:r>
          </w:p>
        </w:tc>
        <w:tc>
          <w:tcPr>
            <w:tcW w:w="5200" w:type="dxa"/>
          </w:tcPr>
          <w:p w14:paraId="2DCF7DAF" w14:textId="77777777" w:rsidR="00CB52D4" w:rsidRPr="00C456E6" w:rsidRDefault="00000000">
            <w:pPr>
              <w:rPr>
                <w:color w:val="000000" w:themeColor="text1"/>
                <w:sz w:val="24"/>
                <w:szCs w:val="24"/>
              </w:rPr>
            </w:pPr>
            <w:r w:rsidRPr="00C456E6">
              <w:rPr>
                <w:rFonts w:eastAsia="Calibri"/>
                <w:color w:val="000000" w:themeColor="text1"/>
                <w:sz w:val="24"/>
                <w:szCs w:val="24"/>
              </w:rPr>
              <w:t>Proportion of true emergencies not classified as emergency (or, where a three-tier scheme is used, not classified at emergency or urgent); reported as the single most safety-critical figure, never averaged into a composite score.</w:t>
            </w:r>
          </w:p>
        </w:tc>
        <w:tc>
          <w:tcPr>
            <w:tcW w:w="1800" w:type="dxa"/>
          </w:tcPr>
          <w:p w14:paraId="0C155BD3" w14:textId="77777777" w:rsidR="00CB52D4" w:rsidRPr="00C456E6" w:rsidRDefault="00000000">
            <w:pPr>
              <w:rPr>
                <w:color w:val="000000" w:themeColor="text1"/>
                <w:sz w:val="24"/>
                <w:szCs w:val="24"/>
              </w:rPr>
            </w:pPr>
            <w:r w:rsidRPr="00C456E6">
              <w:rPr>
                <w:rFonts w:eastAsia="Calibri"/>
                <w:color w:val="000000" w:themeColor="text1"/>
                <w:sz w:val="24"/>
                <w:szCs w:val="24"/>
              </w:rPr>
              <w:t>RQ1</w:t>
            </w:r>
          </w:p>
        </w:tc>
      </w:tr>
      <w:tr w:rsidR="00CB52D4" w:rsidRPr="00C456E6" w14:paraId="48E64AD6" w14:textId="77777777">
        <w:tblPrEx>
          <w:tblCellMar>
            <w:top w:w="0" w:type="dxa"/>
            <w:bottom w:w="0" w:type="dxa"/>
          </w:tblCellMar>
        </w:tblPrEx>
        <w:tc>
          <w:tcPr>
            <w:tcW w:w="2600" w:type="dxa"/>
          </w:tcPr>
          <w:p w14:paraId="32FD8FAA" w14:textId="77777777" w:rsidR="00CB52D4" w:rsidRPr="00C456E6" w:rsidRDefault="00000000">
            <w:pPr>
              <w:rPr>
                <w:color w:val="000000" w:themeColor="text1"/>
                <w:sz w:val="24"/>
                <w:szCs w:val="24"/>
              </w:rPr>
            </w:pPr>
            <w:r w:rsidRPr="00C456E6">
              <w:rPr>
                <w:rFonts w:eastAsia="Calibri"/>
                <w:color w:val="000000" w:themeColor="text1"/>
                <w:sz w:val="24"/>
                <w:szCs w:val="24"/>
              </w:rPr>
              <w:t>Confusion Matrix / Per-Class P-R-F1</w:t>
            </w:r>
          </w:p>
        </w:tc>
        <w:tc>
          <w:tcPr>
            <w:tcW w:w="5200" w:type="dxa"/>
          </w:tcPr>
          <w:p w14:paraId="447D3178" w14:textId="77777777" w:rsidR="00CB52D4" w:rsidRPr="00C456E6" w:rsidRDefault="00000000">
            <w:pPr>
              <w:rPr>
                <w:color w:val="000000" w:themeColor="text1"/>
                <w:sz w:val="24"/>
                <w:szCs w:val="24"/>
              </w:rPr>
            </w:pPr>
            <w:r w:rsidRPr="00C456E6">
              <w:rPr>
                <w:rFonts w:eastAsia="Calibri"/>
                <w:color w:val="000000" w:themeColor="text1"/>
                <w:sz w:val="24"/>
                <w:szCs w:val="24"/>
              </w:rPr>
              <w:t>Full confusion matrix and per-tier precision, recall, and F1 (macro and weighted) across routine / urgent / emergency, to expose which error types dominate rather than a single accuracy figure.</w:t>
            </w:r>
          </w:p>
        </w:tc>
        <w:tc>
          <w:tcPr>
            <w:tcW w:w="1800" w:type="dxa"/>
          </w:tcPr>
          <w:p w14:paraId="11DF91BA" w14:textId="77777777" w:rsidR="00CB52D4" w:rsidRPr="00C456E6" w:rsidRDefault="00000000">
            <w:pPr>
              <w:rPr>
                <w:color w:val="000000" w:themeColor="text1"/>
                <w:sz w:val="24"/>
                <w:szCs w:val="24"/>
              </w:rPr>
            </w:pPr>
            <w:r w:rsidRPr="00C456E6">
              <w:rPr>
                <w:rFonts w:eastAsia="Calibri"/>
                <w:color w:val="000000" w:themeColor="text1"/>
                <w:sz w:val="24"/>
                <w:szCs w:val="24"/>
              </w:rPr>
              <w:t>RQ1</w:t>
            </w:r>
          </w:p>
        </w:tc>
      </w:tr>
      <w:tr w:rsidR="00CB52D4" w:rsidRPr="00C456E6" w14:paraId="2A0C91A2" w14:textId="77777777">
        <w:tblPrEx>
          <w:tblCellMar>
            <w:top w:w="0" w:type="dxa"/>
            <w:bottom w:w="0" w:type="dxa"/>
          </w:tblCellMar>
        </w:tblPrEx>
        <w:tc>
          <w:tcPr>
            <w:tcW w:w="2600" w:type="dxa"/>
          </w:tcPr>
          <w:p w14:paraId="45D1CB69" w14:textId="77777777" w:rsidR="00CB52D4" w:rsidRPr="00C456E6" w:rsidRDefault="00000000">
            <w:pPr>
              <w:rPr>
                <w:color w:val="000000" w:themeColor="text1"/>
                <w:sz w:val="24"/>
                <w:szCs w:val="24"/>
              </w:rPr>
            </w:pPr>
            <w:r w:rsidRPr="00C456E6">
              <w:rPr>
                <w:rFonts w:eastAsia="Calibri"/>
                <w:color w:val="000000" w:themeColor="text1"/>
                <w:sz w:val="24"/>
                <w:szCs w:val="24"/>
              </w:rPr>
              <w:t>Quadratic Weighted Kappa</w:t>
            </w:r>
          </w:p>
        </w:tc>
        <w:tc>
          <w:tcPr>
            <w:tcW w:w="5200" w:type="dxa"/>
          </w:tcPr>
          <w:p w14:paraId="1C75428E" w14:textId="77777777" w:rsidR="00CB52D4" w:rsidRPr="00C456E6" w:rsidRDefault="00000000">
            <w:pPr>
              <w:rPr>
                <w:color w:val="000000" w:themeColor="text1"/>
                <w:sz w:val="24"/>
                <w:szCs w:val="24"/>
              </w:rPr>
            </w:pPr>
            <w:r w:rsidRPr="00C456E6">
              <w:rPr>
                <w:rFonts w:eastAsia="Calibri"/>
                <w:color w:val="000000" w:themeColor="text1"/>
                <w:sz w:val="24"/>
                <w:szCs w:val="24"/>
              </w:rPr>
              <w:t>Ordinal agreement metric that penalizes a two-step error (e.g., emergency mislabelled routine) more heavily than a one-step error (emergency mislabelled urgent), reflecting the ordered nature of the tiers.</w:t>
            </w:r>
          </w:p>
        </w:tc>
        <w:tc>
          <w:tcPr>
            <w:tcW w:w="1800" w:type="dxa"/>
          </w:tcPr>
          <w:p w14:paraId="5986F908" w14:textId="77777777" w:rsidR="00CB52D4" w:rsidRPr="00C456E6" w:rsidRDefault="00000000">
            <w:pPr>
              <w:rPr>
                <w:color w:val="000000" w:themeColor="text1"/>
                <w:sz w:val="24"/>
                <w:szCs w:val="24"/>
              </w:rPr>
            </w:pPr>
            <w:r w:rsidRPr="00C456E6">
              <w:rPr>
                <w:rFonts w:eastAsia="Calibri"/>
                <w:color w:val="000000" w:themeColor="text1"/>
                <w:sz w:val="24"/>
                <w:szCs w:val="24"/>
              </w:rPr>
              <w:t>RQ1</w:t>
            </w:r>
          </w:p>
        </w:tc>
      </w:tr>
      <w:tr w:rsidR="00CB52D4" w:rsidRPr="00C456E6" w14:paraId="79506EDB" w14:textId="77777777">
        <w:tblPrEx>
          <w:tblCellMar>
            <w:top w:w="0" w:type="dxa"/>
            <w:bottom w:w="0" w:type="dxa"/>
          </w:tblCellMar>
        </w:tblPrEx>
        <w:tc>
          <w:tcPr>
            <w:tcW w:w="2600" w:type="dxa"/>
          </w:tcPr>
          <w:p w14:paraId="3F3BB2A4" w14:textId="77777777" w:rsidR="00CB52D4" w:rsidRPr="00C456E6" w:rsidRDefault="00000000">
            <w:pPr>
              <w:rPr>
                <w:color w:val="000000" w:themeColor="text1"/>
                <w:sz w:val="24"/>
                <w:szCs w:val="24"/>
              </w:rPr>
            </w:pPr>
            <w:r w:rsidRPr="00C456E6">
              <w:rPr>
                <w:rFonts w:eastAsia="Calibri"/>
                <w:color w:val="000000" w:themeColor="text1"/>
                <w:sz w:val="24"/>
                <w:szCs w:val="24"/>
              </w:rPr>
              <w:t>Cost-Weighted Error Matrix</w:t>
            </w:r>
          </w:p>
        </w:tc>
        <w:tc>
          <w:tcPr>
            <w:tcW w:w="5200" w:type="dxa"/>
          </w:tcPr>
          <w:p w14:paraId="70411FA8" w14:textId="77777777" w:rsidR="00CB52D4" w:rsidRPr="00C456E6" w:rsidRDefault="00000000">
            <w:pPr>
              <w:rPr>
                <w:color w:val="000000" w:themeColor="text1"/>
                <w:sz w:val="24"/>
                <w:szCs w:val="24"/>
              </w:rPr>
            </w:pPr>
            <w:r w:rsidRPr="00C456E6">
              <w:rPr>
                <w:rFonts w:eastAsia="Calibri"/>
                <w:color w:val="000000" w:themeColor="text1"/>
                <w:sz w:val="24"/>
                <w:szCs w:val="24"/>
              </w:rPr>
              <w:t xml:space="preserve">Each confusion-matrix cell assigned a point cost proportional to clinical severity (e.g., emergency-as-routine costed far higher than routine-as-urgent), </w:t>
            </w:r>
            <w:r w:rsidRPr="00C456E6">
              <w:rPr>
                <w:rFonts w:eastAsia="Calibri"/>
                <w:color w:val="000000" w:themeColor="text1"/>
                <w:sz w:val="24"/>
                <w:szCs w:val="24"/>
              </w:rPr>
              <w:lastRenderedPageBreak/>
              <w:t>converting classification performance into an interpretable risk score.</w:t>
            </w:r>
          </w:p>
        </w:tc>
        <w:tc>
          <w:tcPr>
            <w:tcW w:w="1800" w:type="dxa"/>
          </w:tcPr>
          <w:p w14:paraId="0D686752" w14:textId="77777777" w:rsidR="00CB52D4" w:rsidRPr="00C456E6" w:rsidRDefault="00000000">
            <w:pPr>
              <w:rPr>
                <w:color w:val="000000" w:themeColor="text1"/>
                <w:sz w:val="24"/>
                <w:szCs w:val="24"/>
              </w:rPr>
            </w:pPr>
            <w:r w:rsidRPr="00C456E6">
              <w:rPr>
                <w:rFonts w:eastAsia="Calibri"/>
                <w:color w:val="000000" w:themeColor="text1"/>
                <w:sz w:val="24"/>
                <w:szCs w:val="24"/>
              </w:rPr>
              <w:lastRenderedPageBreak/>
              <w:t>RQ1</w:t>
            </w:r>
          </w:p>
        </w:tc>
      </w:tr>
      <w:tr w:rsidR="00CB52D4" w:rsidRPr="00C456E6" w14:paraId="56B6D2AF" w14:textId="77777777">
        <w:tblPrEx>
          <w:tblCellMar>
            <w:top w:w="0" w:type="dxa"/>
            <w:bottom w:w="0" w:type="dxa"/>
          </w:tblCellMar>
        </w:tblPrEx>
        <w:tc>
          <w:tcPr>
            <w:tcW w:w="2600" w:type="dxa"/>
          </w:tcPr>
          <w:p w14:paraId="1DB9BEFF" w14:textId="77777777" w:rsidR="00CB52D4" w:rsidRPr="00C456E6" w:rsidRDefault="00000000">
            <w:pPr>
              <w:rPr>
                <w:color w:val="000000" w:themeColor="text1"/>
                <w:sz w:val="24"/>
                <w:szCs w:val="24"/>
              </w:rPr>
            </w:pPr>
            <w:r w:rsidRPr="00C456E6">
              <w:rPr>
                <w:rFonts w:eastAsia="Calibri"/>
                <w:color w:val="000000" w:themeColor="text1"/>
                <w:sz w:val="24"/>
                <w:szCs w:val="24"/>
              </w:rPr>
              <w:t>Retrieval Hit Rate (gold-standard)</w:t>
            </w:r>
          </w:p>
        </w:tc>
        <w:tc>
          <w:tcPr>
            <w:tcW w:w="5200" w:type="dxa"/>
          </w:tcPr>
          <w:p w14:paraId="79E104A4" w14:textId="77777777" w:rsidR="00CB52D4" w:rsidRPr="00C456E6" w:rsidRDefault="00000000">
            <w:pPr>
              <w:rPr>
                <w:color w:val="000000" w:themeColor="text1"/>
                <w:sz w:val="24"/>
                <w:szCs w:val="24"/>
              </w:rPr>
            </w:pPr>
            <w:r w:rsidRPr="00C456E6">
              <w:rPr>
                <w:rFonts w:eastAsia="Calibri"/>
                <w:color w:val="000000" w:themeColor="text1"/>
                <w:sz w:val="24"/>
                <w:szCs w:val="24"/>
              </w:rPr>
              <w:t>Proportion of held-out test queries for which the retrieved chunk(s) come from the pre-mapped, human-verified expected source document(s); used as the primary retrieval-quality metric in place of an unvalidated LLM-judge score.</w:t>
            </w:r>
          </w:p>
        </w:tc>
        <w:tc>
          <w:tcPr>
            <w:tcW w:w="1800" w:type="dxa"/>
          </w:tcPr>
          <w:p w14:paraId="487BF6C6" w14:textId="77777777" w:rsidR="00CB52D4" w:rsidRPr="00C456E6" w:rsidRDefault="00000000">
            <w:pPr>
              <w:rPr>
                <w:color w:val="000000" w:themeColor="text1"/>
                <w:sz w:val="24"/>
                <w:szCs w:val="24"/>
              </w:rPr>
            </w:pPr>
            <w:r w:rsidRPr="00C456E6">
              <w:rPr>
                <w:rFonts w:eastAsia="Calibri"/>
                <w:color w:val="000000" w:themeColor="text1"/>
                <w:sz w:val="24"/>
                <w:szCs w:val="24"/>
              </w:rPr>
              <w:t>RQ2</w:t>
            </w:r>
          </w:p>
        </w:tc>
      </w:tr>
      <w:tr w:rsidR="00CB52D4" w:rsidRPr="00C456E6" w14:paraId="6D28B565" w14:textId="77777777">
        <w:tblPrEx>
          <w:tblCellMar>
            <w:top w:w="0" w:type="dxa"/>
            <w:bottom w:w="0" w:type="dxa"/>
          </w:tblCellMar>
        </w:tblPrEx>
        <w:tc>
          <w:tcPr>
            <w:tcW w:w="2600" w:type="dxa"/>
          </w:tcPr>
          <w:p w14:paraId="3EBD6BBA" w14:textId="77777777" w:rsidR="00CB52D4" w:rsidRPr="00C456E6" w:rsidRDefault="00000000">
            <w:pPr>
              <w:rPr>
                <w:color w:val="000000" w:themeColor="text1"/>
                <w:sz w:val="24"/>
                <w:szCs w:val="24"/>
              </w:rPr>
            </w:pPr>
            <w:r w:rsidRPr="00C456E6">
              <w:rPr>
                <w:rFonts w:eastAsia="Calibri"/>
                <w:color w:val="000000" w:themeColor="text1"/>
                <w:sz w:val="24"/>
                <w:szCs w:val="24"/>
              </w:rPr>
              <w:t xml:space="preserve">Hallucination / </w:t>
            </w:r>
            <w:proofErr w:type="spellStart"/>
            <w:r w:rsidRPr="00C456E6">
              <w:rPr>
                <w:rFonts w:eastAsia="Calibri"/>
                <w:color w:val="000000" w:themeColor="text1"/>
                <w:sz w:val="24"/>
                <w:szCs w:val="24"/>
              </w:rPr>
              <w:t>Groundedness</w:t>
            </w:r>
            <w:proofErr w:type="spellEnd"/>
            <w:r w:rsidRPr="00C456E6">
              <w:rPr>
                <w:rFonts w:eastAsia="Calibri"/>
                <w:color w:val="000000" w:themeColor="text1"/>
                <w:sz w:val="24"/>
                <w:szCs w:val="24"/>
              </w:rPr>
              <w:t xml:space="preserve"> Rate</w:t>
            </w:r>
          </w:p>
        </w:tc>
        <w:tc>
          <w:tcPr>
            <w:tcW w:w="5200" w:type="dxa"/>
          </w:tcPr>
          <w:p w14:paraId="03DA847B" w14:textId="77777777" w:rsidR="00CB52D4" w:rsidRPr="00C456E6" w:rsidRDefault="00000000">
            <w:pPr>
              <w:rPr>
                <w:color w:val="000000" w:themeColor="text1"/>
                <w:sz w:val="24"/>
                <w:szCs w:val="24"/>
              </w:rPr>
            </w:pPr>
            <w:r w:rsidRPr="00C456E6">
              <w:rPr>
                <w:rFonts w:eastAsia="Calibri"/>
                <w:color w:val="000000" w:themeColor="text1"/>
                <w:sz w:val="24"/>
                <w:szCs w:val="24"/>
              </w:rPr>
              <w:t>Proportion of generated claims not supported by retrieved source material or ground-truth protocol, assessed via automated source-attribution checking.</w:t>
            </w:r>
          </w:p>
        </w:tc>
        <w:tc>
          <w:tcPr>
            <w:tcW w:w="1800" w:type="dxa"/>
          </w:tcPr>
          <w:p w14:paraId="71192837" w14:textId="77777777" w:rsidR="00CB52D4" w:rsidRPr="00C456E6" w:rsidRDefault="00000000">
            <w:pPr>
              <w:rPr>
                <w:color w:val="000000" w:themeColor="text1"/>
                <w:sz w:val="24"/>
                <w:szCs w:val="24"/>
              </w:rPr>
            </w:pPr>
            <w:r w:rsidRPr="00C456E6">
              <w:rPr>
                <w:rFonts w:eastAsia="Calibri"/>
                <w:color w:val="000000" w:themeColor="text1"/>
                <w:sz w:val="24"/>
                <w:szCs w:val="24"/>
              </w:rPr>
              <w:t>RQ2</w:t>
            </w:r>
          </w:p>
        </w:tc>
      </w:tr>
      <w:tr w:rsidR="00CB52D4" w:rsidRPr="00C456E6" w14:paraId="10914B83" w14:textId="77777777">
        <w:tblPrEx>
          <w:tblCellMar>
            <w:top w:w="0" w:type="dxa"/>
            <w:bottom w:w="0" w:type="dxa"/>
          </w:tblCellMar>
        </w:tblPrEx>
        <w:tc>
          <w:tcPr>
            <w:tcW w:w="2600" w:type="dxa"/>
          </w:tcPr>
          <w:p w14:paraId="4DC3E7CA" w14:textId="77777777" w:rsidR="00CB52D4" w:rsidRPr="00C456E6" w:rsidRDefault="00000000">
            <w:pPr>
              <w:rPr>
                <w:color w:val="000000" w:themeColor="text1"/>
                <w:sz w:val="24"/>
                <w:szCs w:val="24"/>
              </w:rPr>
            </w:pPr>
            <w:r w:rsidRPr="00C456E6">
              <w:rPr>
                <w:rFonts w:eastAsia="Calibri"/>
                <w:color w:val="000000" w:themeColor="text1"/>
                <w:sz w:val="24"/>
                <w:szCs w:val="24"/>
              </w:rPr>
              <w:t>Factual-QA Accuracy</w:t>
            </w:r>
          </w:p>
        </w:tc>
        <w:tc>
          <w:tcPr>
            <w:tcW w:w="5200" w:type="dxa"/>
          </w:tcPr>
          <w:p w14:paraId="6FA01336" w14:textId="77777777" w:rsidR="00CB52D4" w:rsidRPr="00C456E6" w:rsidRDefault="00000000">
            <w:pPr>
              <w:rPr>
                <w:color w:val="000000" w:themeColor="text1"/>
                <w:sz w:val="24"/>
                <w:szCs w:val="24"/>
              </w:rPr>
            </w:pPr>
            <w:r w:rsidRPr="00C456E6">
              <w:rPr>
                <w:rFonts w:eastAsia="Calibri"/>
                <w:color w:val="000000" w:themeColor="text1"/>
                <w:sz w:val="24"/>
                <w:szCs w:val="24"/>
              </w:rPr>
              <w:t xml:space="preserve">Pass@1 accuracy on </w:t>
            </w:r>
            <w:proofErr w:type="spellStart"/>
            <w:r w:rsidRPr="00C456E6">
              <w:rPr>
                <w:rFonts w:eastAsia="Calibri"/>
                <w:color w:val="000000" w:themeColor="text1"/>
                <w:sz w:val="24"/>
                <w:szCs w:val="24"/>
              </w:rPr>
              <w:t>MedQA</w:t>
            </w:r>
            <w:proofErr w:type="spellEnd"/>
            <w:r w:rsidRPr="00C456E6">
              <w:rPr>
                <w:rFonts w:eastAsia="Calibri"/>
                <w:color w:val="000000" w:themeColor="text1"/>
                <w:sz w:val="24"/>
                <w:szCs w:val="24"/>
              </w:rPr>
              <w:t xml:space="preserve"> / </w:t>
            </w:r>
            <w:proofErr w:type="spellStart"/>
            <w:r w:rsidRPr="00C456E6">
              <w:rPr>
                <w:rFonts w:eastAsia="Calibri"/>
                <w:color w:val="000000" w:themeColor="text1"/>
                <w:sz w:val="24"/>
                <w:szCs w:val="24"/>
              </w:rPr>
              <w:t>MedMCQA</w:t>
            </w:r>
            <w:proofErr w:type="spellEnd"/>
            <w:r w:rsidRPr="00C456E6">
              <w:rPr>
                <w:rFonts w:eastAsia="Calibri"/>
                <w:color w:val="000000" w:themeColor="text1"/>
                <w:sz w:val="24"/>
                <w:szCs w:val="24"/>
              </w:rPr>
              <w:t xml:space="preserve"> / </w:t>
            </w:r>
            <w:proofErr w:type="spellStart"/>
            <w:r w:rsidRPr="00C456E6">
              <w:rPr>
                <w:rFonts w:eastAsia="Calibri"/>
                <w:color w:val="000000" w:themeColor="text1"/>
                <w:sz w:val="24"/>
                <w:szCs w:val="24"/>
              </w:rPr>
              <w:t>MedXpertQA</w:t>
            </w:r>
            <w:proofErr w:type="spellEnd"/>
            <w:r w:rsidRPr="00C456E6">
              <w:rPr>
                <w:rFonts w:eastAsia="Calibri"/>
                <w:color w:val="000000" w:themeColor="text1"/>
                <w:sz w:val="24"/>
                <w:szCs w:val="24"/>
              </w:rPr>
              <w:t xml:space="preserve"> subsets, tracked per model and per quantization level, with a drop beyond a defined threshold from a model's own best level flagged as a quantization regression.</w:t>
            </w:r>
          </w:p>
        </w:tc>
        <w:tc>
          <w:tcPr>
            <w:tcW w:w="1800" w:type="dxa"/>
          </w:tcPr>
          <w:p w14:paraId="6B0DEEDC" w14:textId="77777777" w:rsidR="00CB52D4" w:rsidRPr="00C456E6" w:rsidRDefault="00000000">
            <w:pPr>
              <w:rPr>
                <w:color w:val="000000" w:themeColor="text1"/>
                <w:sz w:val="24"/>
                <w:szCs w:val="24"/>
              </w:rPr>
            </w:pPr>
            <w:r w:rsidRPr="00C456E6">
              <w:rPr>
                <w:rFonts w:eastAsia="Calibri"/>
                <w:color w:val="000000" w:themeColor="text1"/>
                <w:sz w:val="24"/>
                <w:szCs w:val="24"/>
              </w:rPr>
              <w:t>RQ3</w:t>
            </w:r>
          </w:p>
        </w:tc>
      </w:tr>
      <w:tr w:rsidR="00CB52D4" w:rsidRPr="00C456E6" w14:paraId="0B65BAA1" w14:textId="77777777">
        <w:tblPrEx>
          <w:tblCellMar>
            <w:top w:w="0" w:type="dxa"/>
            <w:bottom w:w="0" w:type="dxa"/>
          </w:tblCellMar>
        </w:tblPrEx>
        <w:tc>
          <w:tcPr>
            <w:tcW w:w="2600" w:type="dxa"/>
          </w:tcPr>
          <w:p w14:paraId="310A8F1F" w14:textId="77777777" w:rsidR="00CB52D4" w:rsidRPr="00C456E6" w:rsidRDefault="00000000">
            <w:pPr>
              <w:rPr>
                <w:color w:val="000000" w:themeColor="text1"/>
                <w:sz w:val="24"/>
                <w:szCs w:val="24"/>
              </w:rPr>
            </w:pPr>
            <w:r w:rsidRPr="00C456E6">
              <w:rPr>
                <w:rFonts w:eastAsia="Calibri"/>
                <w:color w:val="000000" w:themeColor="text1"/>
                <w:sz w:val="24"/>
                <w:szCs w:val="24"/>
              </w:rPr>
              <w:t>Inference Latency</w:t>
            </w:r>
          </w:p>
        </w:tc>
        <w:tc>
          <w:tcPr>
            <w:tcW w:w="5200" w:type="dxa"/>
          </w:tcPr>
          <w:p w14:paraId="7D216A61" w14:textId="77777777" w:rsidR="00CB52D4" w:rsidRPr="00C456E6" w:rsidRDefault="00000000">
            <w:pPr>
              <w:rPr>
                <w:color w:val="000000" w:themeColor="text1"/>
                <w:sz w:val="24"/>
                <w:szCs w:val="24"/>
              </w:rPr>
            </w:pPr>
            <w:r w:rsidRPr="00C456E6">
              <w:rPr>
                <w:rFonts w:eastAsia="Calibri"/>
                <w:color w:val="000000" w:themeColor="text1"/>
                <w:sz w:val="24"/>
                <w:szCs w:val="24"/>
              </w:rPr>
              <w:t>End-to-end response time (retrieval + generation) on each target hardware tier, per turn and cumulative.</w:t>
            </w:r>
          </w:p>
        </w:tc>
        <w:tc>
          <w:tcPr>
            <w:tcW w:w="1800" w:type="dxa"/>
          </w:tcPr>
          <w:p w14:paraId="05FB0E71" w14:textId="77777777" w:rsidR="00CB52D4" w:rsidRPr="00C456E6" w:rsidRDefault="00000000">
            <w:pPr>
              <w:rPr>
                <w:color w:val="000000" w:themeColor="text1"/>
                <w:sz w:val="24"/>
                <w:szCs w:val="24"/>
              </w:rPr>
            </w:pPr>
            <w:r w:rsidRPr="00C456E6">
              <w:rPr>
                <w:rFonts w:eastAsia="Calibri"/>
                <w:color w:val="000000" w:themeColor="text1"/>
                <w:sz w:val="24"/>
                <w:szCs w:val="24"/>
              </w:rPr>
              <w:t>RQ3</w:t>
            </w:r>
          </w:p>
        </w:tc>
      </w:tr>
      <w:tr w:rsidR="00CB52D4" w:rsidRPr="00C456E6" w14:paraId="1195D43F" w14:textId="77777777">
        <w:tblPrEx>
          <w:tblCellMar>
            <w:top w:w="0" w:type="dxa"/>
            <w:bottom w:w="0" w:type="dxa"/>
          </w:tblCellMar>
        </w:tblPrEx>
        <w:tc>
          <w:tcPr>
            <w:tcW w:w="2600" w:type="dxa"/>
          </w:tcPr>
          <w:p w14:paraId="58B56118" w14:textId="77777777" w:rsidR="00CB52D4" w:rsidRPr="00C456E6" w:rsidRDefault="00000000">
            <w:pPr>
              <w:rPr>
                <w:color w:val="000000" w:themeColor="text1"/>
                <w:sz w:val="24"/>
                <w:szCs w:val="24"/>
              </w:rPr>
            </w:pPr>
            <w:r w:rsidRPr="00C456E6">
              <w:rPr>
                <w:rFonts w:eastAsia="Calibri"/>
                <w:color w:val="000000" w:themeColor="text1"/>
                <w:sz w:val="24"/>
                <w:szCs w:val="24"/>
              </w:rPr>
              <w:t>Memory / Compute Footprint</w:t>
            </w:r>
          </w:p>
        </w:tc>
        <w:tc>
          <w:tcPr>
            <w:tcW w:w="5200" w:type="dxa"/>
          </w:tcPr>
          <w:p w14:paraId="415AAECF" w14:textId="77777777" w:rsidR="00CB52D4" w:rsidRPr="00C456E6" w:rsidRDefault="00000000">
            <w:pPr>
              <w:rPr>
                <w:color w:val="000000" w:themeColor="text1"/>
                <w:sz w:val="24"/>
                <w:szCs w:val="24"/>
              </w:rPr>
            </w:pPr>
            <w:r w:rsidRPr="00C456E6">
              <w:rPr>
                <w:rFonts w:eastAsia="Calibri"/>
                <w:color w:val="000000" w:themeColor="text1"/>
                <w:sz w:val="24"/>
                <w:szCs w:val="24"/>
              </w:rPr>
              <w:t>Peak RAM/VRAM per model family, quantization format, and hardware tier.</w:t>
            </w:r>
          </w:p>
        </w:tc>
        <w:tc>
          <w:tcPr>
            <w:tcW w:w="1800" w:type="dxa"/>
          </w:tcPr>
          <w:p w14:paraId="4EF113EA" w14:textId="77777777" w:rsidR="00CB52D4" w:rsidRPr="00C456E6" w:rsidRDefault="00000000">
            <w:pPr>
              <w:rPr>
                <w:color w:val="000000" w:themeColor="text1"/>
                <w:sz w:val="24"/>
                <w:szCs w:val="24"/>
              </w:rPr>
            </w:pPr>
            <w:r w:rsidRPr="00C456E6">
              <w:rPr>
                <w:rFonts w:eastAsia="Calibri"/>
                <w:color w:val="000000" w:themeColor="text1"/>
                <w:sz w:val="24"/>
                <w:szCs w:val="24"/>
              </w:rPr>
              <w:t>RQ3</w:t>
            </w:r>
          </w:p>
        </w:tc>
      </w:tr>
      <w:tr w:rsidR="00CB52D4" w:rsidRPr="00C456E6" w14:paraId="16CDDBAB" w14:textId="77777777">
        <w:tblPrEx>
          <w:tblCellMar>
            <w:top w:w="0" w:type="dxa"/>
            <w:bottom w:w="0" w:type="dxa"/>
          </w:tblCellMar>
        </w:tblPrEx>
        <w:tc>
          <w:tcPr>
            <w:tcW w:w="2600" w:type="dxa"/>
          </w:tcPr>
          <w:p w14:paraId="3BFC3F5E" w14:textId="77777777" w:rsidR="00CB52D4" w:rsidRPr="00C456E6" w:rsidRDefault="00000000">
            <w:pPr>
              <w:rPr>
                <w:color w:val="000000" w:themeColor="text1"/>
                <w:sz w:val="24"/>
                <w:szCs w:val="24"/>
              </w:rPr>
            </w:pPr>
            <w:r w:rsidRPr="00C456E6">
              <w:rPr>
                <w:rFonts w:eastAsia="Calibri"/>
                <w:color w:val="000000" w:themeColor="text1"/>
                <w:sz w:val="24"/>
                <w:szCs w:val="24"/>
              </w:rPr>
              <w:t>Rubric / LLM-Judge Agreement</w:t>
            </w:r>
          </w:p>
        </w:tc>
        <w:tc>
          <w:tcPr>
            <w:tcW w:w="5200" w:type="dxa"/>
          </w:tcPr>
          <w:p w14:paraId="5717C1C1" w14:textId="77777777" w:rsidR="00CB52D4" w:rsidRPr="00C456E6" w:rsidRDefault="00000000">
            <w:pPr>
              <w:rPr>
                <w:color w:val="000000" w:themeColor="text1"/>
                <w:sz w:val="24"/>
                <w:szCs w:val="24"/>
              </w:rPr>
            </w:pPr>
            <w:r w:rsidRPr="00C456E6">
              <w:rPr>
                <w:rFonts w:eastAsia="Calibri"/>
                <w:color w:val="000000" w:themeColor="text1"/>
                <w:sz w:val="24"/>
                <w:szCs w:val="24"/>
              </w:rPr>
              <w:t>Agreement rate between an automated rubric scorer and an independent local LLM judge on the same vignette set, reported explicitly as a validity check on the scoring protocol itself, not assumed.</w:t>
            </w:r>
          </w:p>
        </w:tc>
        <w:tc>
          <w:tcPr>
            <w:tcW w:w="1800" w:type="dxa"/>
          </w:tcPr>
          <w:p w14:paraId="4570E354" w14:textId="77777777" w:rsidR="00CB52D4" w:rsidRPr="00C456E6" w:rsidRDefault="00000000">
            <w:pPr>
              <w:rPr>
                <w:color w:val="000000" w:themeColor="text1"/>
                <w:sz w:val="24"/>
                <w:szCs w:val="24"/>
              </w:rPr>
            </w:pPr>
            <w:r w:rsidRPr="00C456E6">
              <w:rPr>
                <w:rFonts w:eastAsia="Calibri"/>
                <w:color w:val="000000" w:themeColor="text1"/>
                <w:sz w:val="24"/>
                <w:szCs w:val="24"/>
              </w:rPr>
              <w:t>Methodological</w:t>
            </w:r>
          </w:p>
        </w:tc>
      </w:tr>
      <w:tr w:rsidR="00CB52D4" w:rsidRPr="00C456E6" w14:paraId="2D636F60" w14:textId="77777777">
        <w:tblPrEx>
          <w:tblCellMar>
            <w:top w:w="0" w:type="dxa"/>
            <w:bottom w:w="0" w:type="dxa"/>
          </w:tblCellMar>
        </w:tblPrEx>
        <w:tc>
          <w:tcPr>
            <w:tcW w:w="2600" w:type="dxa"/>
          </w:tcPr>
          <w:p w14:paraId="7270F3E7" w14:textId="77777777" w:rsidR="00CB52D4" w:rsidRPr="00C456E6" w:rsidRDefault="00000000">
            <w:pPr>
              <w:rPr>
                <w:color w:val="000000" w:themeColor="text1"/>
                <w:sz w:val="24"/>
                <w:szCs w:val="24"/>
              </w:rPr>
            </w:pPr>
            <w:r w:rsidRPr="00C456E6">
              <w:rPr>
                <w:rFonts w:eastAsia="Calibri"/>
                <w:color w:val="000000" w:themeColor="text1"/>
                <w:sz w:val="24"/>
                <w:szCs w:val="24"/>
              </w:rPr>
              <w:t>Human / LLM-Judge Agreement</w:t>
            </w:r>
          </w:p>
        </w:tc>
        <w:tc>
          <w:tcPr>
            <w:tcW w:w="5200" w:type="dxa"/>
          </w:tcPr>
          <w:p w14:paraId="7249DB60" w14:textId="77777777" w:rsidR="00CB52D4" w:rsidRPr="00C456E6" w:rsidRDefault="00000000">
            <w:pPr>
              <w:rPr>
                <w:color w:val="000000" w:themeColor="text1"/>
                <w:sz w:val="24"/>
                <w:szCs w:val="24"/>
              </w:rPr>
            </w:pPr>
            <w:r w:rsidRPr="00C456E6">
              <w:rPr>
                <w:rFonts w:eastAsia="Calibri"/>
                <w:color w:val="000000" w:themeColor="text1"/>
                <w:sz w:val="24"/>
                <w:szCs w:val="24"/>
              </w:rPr>
              <w:t>Agreement rate between a sampled set of automated-judge decisions and independent human review, required before any judge-derived figure is reported as a primary result.</w:t>
            </w:r>
          </w:p>
        </w:tc>
        <w:tc>
          <w:tcPr>
            <w:tcW w:w="1800" w:type="dxa"/>
          </w:tcPr>
          <w:p w14:paraId="1671F8D3" w14:textId="77777777" w:rsidR="00CB52D4" w:rsidRPr="00C456E6" w:rsidRDefault="00000000">
            <w:pPr>
              <w:rPr>
                <w:color w:val="000000" w:themeColor="text1"/>
                <w:sz w:val="24"/>
                <w:szCs w:val="24"/>
              </w:rPr>
            </w:pPr>
            <w:r w:rsidRPr="00C456E6">
              <w:rPr>
                <w:rFonts w:eastAsia="Calibri"/>
                <w:color w:val="000000" w:themeColor="text1"/>
                <w:sz w:val="24"/>
                <w:szCs w:val="24"/>
              </w:rPr>
              <w:t>Methodological</w:t>
            </w:r>
          </w:p>
        </w:tc>
      </w:tr>
    </w:tbl>
    <w:p w14:paraId="5AB47C9B" w14:textId="77777777" w:rsidR="00CB52D4" w:rsidRPr="00C456E6" w:rsidRDefault="00CB52D4">
      <w:pPr>
        <w:spacing w:after="160"/>
        <w:rPr>
          <w:color w:val="000000" w:themeColor="text1"/>
          <w:sz w:val="24"/>
          <w:szCs w:val="24"/>
        </w:rPr>
      </w:pPr>
    </w:p>
    <w:p w14:paraId="591D3221"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6. Ethical Considerations, Data Governance, and No-Human-Subjects Design</w:t>
      </w:r>
    </w:p>
    <w:p w14:paraId="50190470"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This project is deliberately scoped to avoid human-subjects research. All evaluation data is either (a) publicly available, already-anonymised medical QA benchmark data, or (b) synthetically generated vignette data validated against published, publicly licensed clinical guideline text — never real patient records and never data collected from live human participants. No clinician recruitment, patient interviews, or identifiable health data are used at any stage of the project, and all scoring is automated rather than reliant on human raters.</w:t>
      </w:r>
    </w:p>
    <w:p w14:paraId="6ACC1E77"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Under this design the project is expected to qualify as exempt from, or outside the scope of, institutional IRB/human-subjects review at most institutions, since it involves no interaction with human participants and no personally identifiable or protected health information. The candidate will nonetheless confirm this determination in writing with the institution's ethics office at the outset of Year 1, as exemption criteria vary by institution and jurisdiction, and will document that confirmation in the thesis.</w:t>
      </w:r>
    </w:p>
    <w:p w14:paraId="33B9BD02" w14:textId="77777777" w:rsidR="00CB52D4" w:rsidRPr="00C456E6" w:rsidRDefault="00000000">
      <w:pPr>
        <w:spacing w:after="160"/>
        <w:rPr>
          <w:color w:val="000000" w:themeColor="text1"/>
          <w:sz w:val="24"/>
          <w:szCs w:val="24"/>
        </w:rPr>
      </w:pPr>
      <w:r w:rsidRPr="00C456E6">
        <w:rPr>
          <w:rFonts w:eastAsia="Calibri"/>
          <w:color w:val="000000" w:themeColor="text1"/>
          <w:sz w:val="24"/>
          <w:szCs w:val="24"/>
        </w:rPr>
        <w:t xml:space="preserve">Clinical domain experts may still be consulted informally as technical advisors on guideline selection and vignette plausibility; this advisory role is distinct from recruiting them as research </w:t>
      </w:r>
      <w:r w:rsidRPr="00C456E6">
        <w:rPr>
          <w:rFonts w:eastAsia="Calibri"/>
          <w:color w:val="000000" w:themeColor="text1"/>
          <w:sz w:val="24"/>
          <w:szCs w:val="24"/>
        </w:rPr>
        <w:lastRenderedPageBreak/>
        <w:t>subjects and is not expected to itself trigger IRB review, but any such consultation will be disclosed transparently in the methodology. The system is explicitly scoped as a pre-clinical triage and symptom-mapping aid, not a diagnostic device, and this scope will be reflected in all evaluation framing and reporting to avoid overstating clinical readiness. Data governance for the local RAG corpus will document provenance and licensing of every source document included in the vector store, including an explicit, documented decision — proposed for early Phase II — on whether the corpus's eventual scope is retained, trimmed, or reframed as a distinct contribution in its own right, since corpus scope has downstream implications for every later evaluation phase. Any component found in Phase VII to depend on external network services (Section 4) will be governed by the same data-handling disclosure standard as the rest of the pipeline.</w:t>
      </w:r>
    </w:p>
    <w:p w14:paraId="7794C047"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7. Proposed Timeline (36 Months, Full-Time)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00"/>
      </w:tblGrid>
      <w:tr w:rsidR="00CB52D4" w:rsidRPr="00C456E6" w14:paraId="2DF1A812" w14:textId="77777777">
        <w:tblPrEx>
          <w:tblCellMar>
            <w:top w:w="0" w:type="dxa"/>
            <w:bottom w:w="0" w:type="dxa"/>
          </w:tblCellMar>
        </w:tblPrEx>
        <w:tc>
          <w:tcPr>
            <w:tcW w:w="1800" w:type="dxa"/>
            <w:shd w:val="clear" w:color="auto" w:fill="D9E2F3"/>
          </w:tcPr>
          <w:p w14:paraId="20A159BB" w14:textId="77777777" w:rsidR="00CB52D4" w:rsidRPr="00C456E6" w:rsidRDefault="00000000">
            <w:pPr>
              <w:rPr>
                <w:color w:val="000000" w:themeColor="text1"/>
                <w:sz w:val="24"/>
                <w:szCs w:val="24"/>
              </w:rPr>
            </w:pPr>
            <w:r w:rsidRPr="00C456E6">
              <w:rPr>
                <w:rFonts w:eastAsia="Calibri"/>
                <w:b/>
                <w:bCs/>
                <w:color w:val="000000" w:themeColor="text1"/>
                <w:sz w:val="24"/>
                <w:szCs w:val="24"/>
              </w:rPr>
              <w:t>Period</w:t>
            </w:r>
          </w:p>
        </w:tc>
        <w:tc>
          <w:tcPr>
            <w:tcW w:w="7800" w:type="dxa"/>
            <w:shd w:val="clear" w:color="auto" w:fill="D9E2F3"/>
          </w:tcPr>
          <w:p w14:paraId="68FC3106" w14:textId="77777777" w:rsidR="00CB52D4" w:rsidRPr="00C456E6" w:rsidRDefault="00000000">
            <w:pPr>
              <w:rPr>
                <w:color w:val="000000" w:themeColor="text1"/>
                <w:sz w:val="24"/>
                <w:szCs w:val="24"/>
              </w:rPr>
            </w:pPr>
            <w:r w:rsidRPr="00C456E6">
              <w:rPr>
                <w:rFonts w:eastAsia="Calibri"/>
                <w:b/>
                <w:bCs/>
                <w:color w:val="000000" w:themeColor="text1"/>
                <w:sz w:val="24"/>
                <w:szCs w:val="24"/>
              </w:rPr>
              <w:t>Milestone</w:t>
            </w:r>
          </w:p>
        </w:tc>
      </w:tr>
      <w:tr w:rsidR="00CB52D4" w:rsidRPr="00C456E6" w14:paraId="0FCCFDE6" w14:textId="77777777">
        <w:tblPrEx>
          <w:tblCellMar>
            <w:top w:w="0" w:type="dxa"/>
            <w:bottom w:w="0" w:type="dxa"/>
          </w:tblCellMar>
        </w:tblPrEx>
        <w:tc>
          <w:tcPr>
            <w:tcW w:w="1800" w:type="dxa"/>
          </w:tcPr>
          <w:p w14:paraId="2AC97BCE" w14:textId="77777777" w:rsidR="00CB52D4" w:rsidRPr="00C456E6" w:rsidRDefault="00000000">
            <w:pPr>
              <w:rPr>
                <w:color w:val="000000" w:themeColor="text1"/>
                <w:sz w:val="24"/>
                <w:szCs w:val="24"/>
              </w:rPr>
            </w:pPr>
            <w:r w:rsidRPr="00C456E6">
              <w:rPr>
                <w:rFonts w:eastAsia="Calibri"/>
                <w:color w:val="000000" w:themeColor="text1"/>
                <w:sz w:val="24"/>
                <w:szCs w:val="24"/>
              </w:rPr>
              <w:t>Months 1–8</w:t>
            </w:r>
          </w:p>
        </w:tc>
        <w:tc>
          <w:tcPr>
            <w:tcW w:w="7800" w:type="dxa"/>
          </w:tcPr>
          <w:p w14:paraId="0E9F4955" w14:textId="77777777" w:rsidR="00CB52D4" w:rsidRPr="00C456E6" w:rsidRDefault="00000000">
            <w:pPr>
              <w:rPr>
                <w:color w:val="000000" w:themeColor="text1"/>
                <w:sz w:val="24"/>
                <w:szCs w:val="24"/>
              </w:rPr>
            </w:pPr>
            <w:r w:rsidRPr="00C456E6">
              <w:rPr>
                <w:rFonts w:eastAsia="Calibri"/>
                <w:color w:val="000000" w:themeColor="text1"/>
                <w:sz w:val="24"/>
                <w:szCs w:val="24"/>
              </w:rPr>
              <w:t>Phase I: literature review consolidation; written confirmation of no-human-subjects/exempt status from the institutional ethics office; local inference and quantization pipeline benchmarked across model families and hardware tiers; RAG corpus curated, chunked, indexed, and validated via gold-standard retrieval scoring.</w:t>
            </w:r>
          </w:p>
        </w:tc>
      </w:tr>
      <w:tr w:rsidR="00CB52D4" w:rsidRPr="00C456E6" w14:paraId="3AD9D57E" w14:textId="77777777">
        <w:tblPrEx>
          <w:tblCellMar>
            <w:top w:w="0" w:type="dxa"/>
            <w:bottom w:w="0" w:type="dxa"/>
          </w:tblCellMar>
        </w:tblPrEx>
        <w:tc>
          <w:tcPr>
            <w:tcW w:w="1800" w:type="dxa"/>
          </w:tcPr>
          <w:p w14:paraId="463526FD" w14:textId="77777777" w:rsidR="00CB52D4" w:rsidRPr="00C456E6" w:rsidRDefault="00000000">
            <w:pPr>
              <w:rPr>
                <w:color w:val="000000" w:themeColor="text1"/>
                <w:sz w:val="24"/>
                <w:szCs w:val="24"/>
              </w:rPr>
            </w:pPr>
            <w:r w:rsidRPr="00C456E6">
              <w:rPr>
                <w:rFonts w:eastAsia="Calibri"/>
                <w:color w:val="000000" w:themeColor="text1"/>
                <w:sz w:val="24"/>
                <w:szCs w:val="24"/>
              </w:rPr>
              <w:t>Months 9–14</w:t>
            </w:r>
          </w:p>
        </w:tc>
        <w:tc>
          <w:tcPr>
            <w:tcW w:w="7800" w:type="dxa"/>
          </w:tcPr>
          <w:p w14:paraId="002587DD" w14:textId="77777777" w:rsidR="00CB52D4" w:rsidRPr="00C456E6" w:rsidRDefault="00000000">
            <w:pPr>
              <w:rPr>
                <w:color w:val="000000" w:themeColor="text1"/>
                <w:sz w:val="24"/>
                <w:szCs w:val="24"/>
              </w:rPr>
            </w:pPr>
            <w:r w:rsidRPr="00C456E6">
              <w:rPr>
                <w:rFonts w:eastAsia="Calibri"/>
                <w:color w:val="000000" w:themeColor="text1"/>
                <w:sz w:val="24"/>
                <w:szCs w:val="24"/>
              </w:rPr>
              <w:t>Phase II: dual-layer guardrail (keyword + semantic intent classifier) and RAG-grounded constrained dialogue implemented and unit-tested end-to-end. First-year review / confirmation of candidature.</w:t>
            </w:r>
          </w:p>
        </w:tc>
      </w:tr>
      <w:tr w:rsidR="00CB52D4" w:rsidRPr="00C456E6" w14:paraId="0BDD66EA" w14:textId="77777777">
        <w:tblPrEx>
          <w:tblCellMar>
            <w:top w:w="0" w:type="dxa"/>
            <w:bottom w:w="0" w:type="dxa"/>
          </w:tblCellMar>
        </w:tblPrEx>
        <w:tc>
          <w:tcPr>
            <w:tcW w:w="1800" w:type="dxa"/>
          </w:tcPr>
          <w:p w14:paraId="51E0230F" w14:textId="77777777" w:rsidR="00CB52D4" w:rsidRPr="00C456E6" w:rsidRDefault="00000000">
            <w:pPr>
              <w:rPr>
                <w:color w:val="000000" w:themeColor="text1"/>
                <w:sz w:val="24"/>
                <w:szCs w:val="24"/>
              </w:rPr>
            </w:pPr>
            <w:r w:rsidRPr="00C456E6">
              <w:rPr>
                <w:rFonts w:eastAsia="Calibri"/>
                <w:color w:val="000000" w:themeColor="text1"/>
                <w:sz w:val="24"/>
                <w:szCs w:val="24"/>
              </w:rPr>
              <w:t>Months 15–20</w:t>
            </w:r>
          </w:p>
        </w:tc>
        <w:tc>
          <w:tcPr>
            <w:tcW w:w="7800" w:type="dxa"/>
          </w:tcPr>
          <w:p w14:paraId="1EADC7F9" w14:textId="77777777" w:rsidR="00CB52D4" w:rsidRPr="00C456E6" w:rsidRDefault="00000000">
            <w:pPr>
              <w:rPr>
                <w:color w:val="000000" w:themeColor="text1"/>
                <w:sz w:val="24"/>
                <w:szCs w:val="24"/>
              </w:rPr>
            </w:pPr>
            <w:r w:rsidRPr="00C456E6">
              <w:rPr>
                <w:rFonts w:eastAsia="Calibri"/>
                <w:color w:val="000000" w:themeColor="text1"/>
                <w:sz w:val="24"/>
                <w:szCs w:val="24"/>
              </w:rPr>
              <w:t>Phase III: factual-competency benchmark and synthetic multi-turn vignette testbed protocol specified, locked, and run; dual rubric/LLM-judge scoring and agreement analysis completed.</w:t>
            </w:r>
          </w:p>
        </w:tc>
      </w:tr>
      <w:tr w:rsidR="00CB52D4" w:rsidRPr="00C456E6" w14:paraId="598BBF27" w14:textId="77777777">
        <w:tblPrEx>
          <w:tblCellMar>
            <w:top w:w="0" w:type="dxa"/>
            <w:bottom w:w="0" w:type="dxa"/>
          </w:tblCellMar>
        </w:tblPrEx>
        <w:tc>
          <w:tcPr>
            <w:tcW w:w="1800" w:type="dxa"/>
          </w:tcPr>
          <w:p w14:paraId="47C1CF1D" w14:textId="77777777" w:rsidR="00CB52D4" w:rsidRPr="00C456E6" w:rsidRDefault="00000000">
            <w:pPr>
              <w:rPr>
                <w:color w:val="000000" w:themeColor="text1"/>
                <w:sz w:val="24"/>
                <w:szCs w:val="24"/>
              </w:rPr>
            </w:pPr>
            <w:r w:rsidRPr="00C456E6">
              <w:rPr>
                <w:rFonts w:eastAsia="Calibri"/>
                <w:color w:val="000000" w:themeColor="text1"/>
                <w:sz w:val="24"/>
                <w:szCs w:val="24"/>
              </w:rPr>
              <w:t>Months 21–24</w:t>
            </w:r>
          </w:p>
        </w:tc>
        <w:tc>
          <w:tcPr>
            <w:tcW w:w="7800" w:type="dxa"/>
          </w:tcPr>
          <w:p w14:paraId="71335689" w14:textId="77777777" w:rsidR="00CB52D4" w:rsidRPr="00C456E6" w:rsidRDefault="00000000">
            <w:pPr>
              <w:rPr>
                <w:color w:val="000000" w:themeColor="text1"/>
                <w:sz w:val="24"/>
                <w:szCs w:val="24"/>
              </w:rPr>
            </w:pPr>
            <w:r w:rsidRPr="00C456E6">
              <w:rPr>
                <w:rFonts w:eastAsia="Calibri"/>
                <w:color w:val="000000" w:themeColor="text1"/>
                <w:sz w:val="24"/>
                <w:szCs w:val="24"/>
              </w:rPr>
              <w:t>Phase IV: structured clustering analysis of any guardrail false positives/negatives revealed in Phase III, distinguishing genuine agent error from vignette-</w:t>
            </w:r>
            <w:proofErr w:type="spellStart"/>
            <w:r w:rsidRPr="00C456E6">
              <w:rPr>
                <w:rFonts w:eastAsia="Calibri"/>
                <w:color w:val="000000" w:themeColor="text1"/>
                <w:sz w:val="24"/>
                <w:szCs w:val="24"/>
              </w:rPr>
              <w:t>labeling</w:t>
            </w:r>
            <w:proofErr w:type="spellEnd"/>
            <w:r w:rsidRPr="00C456E6">
              <w:rPr>
                <w:rFonts w:eastAsia="Calibri"/>
                <w:color w:val="000000" w:themeColor="text1"/>
                <w:sz w:val="24"/>
                <w:szCs w:val="24"/>
              </w:rPr>
              <w:t xml:space="preserve"> artifacts.</w:t>
            </w:r>
          </w:p>
        </w:tc>
      </w:tr>
      <w:tr w:rsidR="00CB52D4" w:rsidRPr="00C456E6" w14:paraId="74AD1F02" w14:textId="77777777">
        <w:tblPrEx>
          <w:tblCellMar>
            <w:top w:w="0" w:type="dxa"/>
            <w:bottom w:w="0" w:type="dxa"/>
          </w:tblCellMar>
        </w:tblPrEx>
        <w:tc>
          <w:tcPr>
            <w:tcW w:w="1800" w:type="dxa"/>
          </w:tcPr>
          <w:p w14:paraId="61311EE5" w14:textId="77777777" w:rsidR="00CB52D4" w:rsidRPr="00C456E6" w:rsidRDefault="00000000">
            <w:pPr>
              <w:rPr>
                <w:color w:val="000000" w:themeColor="text1"/>
                <w:sz w:val="24"/>
                <w:szCs w:val="24"/>
              </w:rPr>
            </w:pPr>
            <w:r w:rsidRPr="00C456E6">
              <w:rPr>
                <w:rFonts w:eastAsia="Calibri"/>
                <w:color w:val="000000" w:themeColor="text1"/>
                <w:sz w:val="24"/>
                <w:szCs w:val="24"/>
              </w:rPr>
              <w:t>Months 25–29</w:t>
            </w:r>
          </w:p>
        </w:tc>
        <w:tc>
          <w:tcPr>
            <w:tcW w:w="7800" w:type="dxa"/>
          </w:tcPr>
          <w:p w14:paraId="347B2E54" w14:textId="77777777" w:rsidR="00CB52D4" w:rsidRPr="00C456E6" w:rsidRDefault="00000000">
            <w:pPr>
              <w:rPr>
                <w:color w:val="000000" w:themeColor="text1"/>
                <w:sz w:val="24"/>
                <w:szCs w:val="24"/>
              </w:rPr>
            </w:pPr>
            <w:r w:rsidRPr="00C456E6">
              <w:rPr>
                <w:rFonts w:eastAsia="Calibri"/>
                <w:color w:val="000000" w:themeColor="text1"/>
                <w:sz w:val="24"/>
                <w:szCs w:val="24"/>
              </w:rPr>
              <w:t>Phase V: guardrail restructured to an ordinal three-tier classification if warranted by Phase IV's findings; evaluated with confusion-matrix, quadratic-weighted-kappa, cost-weighted, and missed-emergency-rate metrics. Reproducibility issues (e.g., sampling non-determinism) resolved.</w:t>
            </w:r>
          </w:p>
        </w:tc>
      </w:tr>
      <w:tr w:rsidR="00CB52D4" w:rsidRPr="00C456E6" w14:paraId="01505F83" w14:textId="77777777">
        <w:tblPrEx>
          <w:tblCellMar>
            <w:top w:w="0" w:type="dxa"/>
            <w:bottom w:w="0" w:type="dxa"/>
          </w:tblCellMar>
        </w:tblPrEx>
        <w:tc>
          <w:tcPr>
            <w:tcW w:w="1800" w:type="dxa"/>
          </w:tcPr>
          <w:p w14:paraId="308B8F68" w14:textId="77777777" w:rsidR="00CB52D4" w:rsidRPr="00C456E6" w:rsidRDefault="00000000">
            <w:pPr>
              <w:rPr>
                <w:color w:val="000000" w:themeColor="text1"/>
                <w:sz w:val="24"/>
                <w:szCs w:val="24"/>
              </w:rPr>
            </w:pPr>
            <w:r w:rsidRPr="00C456E6">
              <w:rPr>
                <w:rFonts w:eastAsia="Calibri"/>
                <w:color w:val="000000" w:themeColor="text1"/>
                <w:sz w:val="24"/>
                <w:szCs w:val="24"/>
              </w:rPr>
              <w:t>Months 30–33</w:t>
            </w:r>
          </w:p>
        </w:tc>
        <w:tc>
          <w:tcPr>
            <w:tcW w:w="7800" w:type="dxa"/>
          </w:tcPr>
          <w:p w14:paraId="75095009" w14:textId="77777777" w:rsidR="00CB52D4" w:rsidRPr="00C456E6" w:rsidRDefault="00000000">
            <w:pPr>
              <w:rPr>
                <w:color w:val="000000" w:themeColor="text1"/>
                <w:sz w:val="24"/>
                <w:szCs w:val="24"/>
              </w:rPr>
            </w:pPr>
            <w:r w:rsidRPr="00C456E6">
              <w:rPr>
                <w:rFonts w:eastAsia="Calibri"/>
                <w:color w:val="000000" w:themeColor="text1"/>
                <w:sz w:val="24"/>
                <w:szCs w:val="24"/>
              </w:rPr>
              <w:t>Phase VI: dominant residual error pattern diagnosed and a targeted remediation (e.g., borderline-case clarification) designed, implemented, and evaluated under both ceiling and — resources permitting — live-conversation conditions. First paper submission(s).</w:t>
            </w:r>
          </w:p>
        </w:tc>
      </w:tr>
      <w:tr w:rsidR="00CB52D4" w:rsidRPr="00C456E6" w14:paraId="133B3380" w14:textId="77777777">
        <w:tblPrEx>
          <w:tblCellMar>
            <w:top w:w="0" w:type="dxa"/>
            <w:bottom w:w="0" w:type="dxa"/>
          </w:tblCellMar>
        </w:tblPrEx>
        <w:tc>
          <w:tcPr>
            <w:tcW w:w="1800" w:type="dxa"/>
          </w:tcPr>
          <w:p w14:paraId="036CC9D5" w14:textId="77777777" w:rsidR="00CB52D4" w:rsidRPr="00C456E6" w:rsidRDefault="00000000">
            <w:pPr>
              <w:rPr>
                <w:color w:val="000000" w:themeColor="text1"/>
                <w:sz w:val="24"/>
                <w:szCs w:val="24"/>
              </w:rPr>
            </w:pPr>
            <w:r w:rsidRPr="00C456E6">
              <w:rPr>
                <w:rFonts w:eastAsia="Calibri"/>
                <w:color w:val="000000" w:themeColor="text1"/>
                <w:sz w:val="24"/>
                <w:szCs w:val="24"/>
              </w:rPr>
              <w:t>Months 34–36</w:t>
            </w:r>
          </w:p>
        </w:tc>
        <w:tc>
          <w:tcPr>
            <w:tcW w:w="7800" w:type="dxa"/>
          </w:tcPr>
          <w:p w14:paraId="7F87AE6B" w14:textId="77777777" w:rsidR="00CB52D4" w:rsidRPr="00C456E6" w:rsidRDefault="00000000">
            <w:pPr>
              <w:rPr>
                <w:color w:val="000000" w:themeColor="text1"/>
                <w:sz w:val="24"/>
                <w:szCs w:val="24"/>
              </w:rPr>
            </w:pPr>
            <w:r w:rsidRPr="00C456E6">
              <w:rPr>
                <w:rFonts w:eastAsia="Calibri"/>
                <w:color w:val="000000" w:themeColor="text1"/>
                <w:sz w:val="24"/>
                <w:szCs w:val="24"/>
              </w:rPr>
              <w:t>Phase VII: web-based interface delivered and reproducibility-documented; thesis writing; open-source release of framework and non-sensitive evaluation artefacts; final defence preparation.</w:t>
            </w:r>
          </w:p>
        </w:tc>
      </w:tr>
    </w:tbl>
    <w:p w14:paraId="61337184" w14:textId="77777777" w:rsidR="00CB52D4" w:rsidRPr="00C456E6" w:rsidRDefault="00CB52D4">
      <w:pPr>
        <w:spacing w:after="160"/>
        <w:rPr>
          <w:color w:val="000000" w:themeColor="text1"/>
          <w:sz w:val="24"/>
          <w:szCs w:val="24"/>
        </w:rPr>
      </w:pPr>
    </w:p>
    <w:p w14:paraId="0D96C1C1"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8. Expected Contributions and Significance</w:t>
      </w:r>
    </w:p>
    <w:p w14:paraId="6B93B2B2"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An open-source, fully reproducible framework for secure, on-premise clinical dialogue management — including the gated seven-phase development record itself — released with documentation sufficient for independent replication.</w:t>
      </w:r>
    </w:p>
    <w:p w14:paraId="1C3B4F9A"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lastRenderedPageBreak/>
        <w:t>Empirical evidence on how local quantization and RAG-corpus design jointly affect clinical safety and reasoning performance, an interaction largely untested in the current literature, which typically studies quantization and RAG in isolation.</w:t>
      </w:r>
    </w:p>
    <w:p w14:paraId="2A6980DE"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A validated, reliability-checked evaluation protocol combining standard medical QA benchmarks, a purpose-built multi-turn triage vignette testbed, gold-standard retrieval scoring, and dual rubric/LLM-judge scoring with explicit agreement reporting — usable by future work on patient-facing clinical LLMs beyond this project.</w:t>
      </w:r>
    </w:p>
    <w:p w14:paraId="2C8187C9" w14:textId="4A4C52F2"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A demonstrated methodology for diagnosing and iteratively correcting a safety-critical guardrail's own failure modes (binary-to-ordinal restructuring, targeted borderline-case remediation), rather than presenting a single fixed architecture</w:t>
      </w:r>
      <w:r w:rsidR="00C456E6">
        <w:rPr>
          <w:color w:val="000000" w:themeColor="text1"/>
          <w:sz w:val="24"/>
          <w:szCs w:val="24"/>
        </w:rPr>
        <w:t>.</w:t>
      </w:r>
    </w:p>
    <w:p w14:paraId="0042FA46"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A foundational architecture and quantitative trade-off map (accuracy vs. latency vs. memory vs. safety) for privacy-compliant edge AI in healthcare, informing deployment decisions for resource-constrained or connectivity-limited clinical settings.</w:t>
      </w:r>
    </w:p>
    <w:p w14:paraId="2487F126"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A working, interactive reference implementation (Phase VII) that makes the evaluated pipeline usable and inspectable beyond scripts and offline evaluation logs.</w:t>
      </w:r>
    </w:p>
    <w:p w14:paraId="0E3B0E9C" w14:textId="77777777" w:rsidR="00CB52D4" w:rsidRPr="00C456E6" w:rsidRDefault="00000000">
      <w:pPr>
        <w:pStyle w:val="Heading1"/>
        <w:spacing w:before="320" w:after="160"/>
        <w:rPr>
          <w:color w:val="000000" w:themeColor="text1"/>
          <w:sz w:val="24"/>
          <w:szCs w:val="24"/>
        </w:rPr>
      </w:pPr>
      <w:r w:rsidRPr="00C456E6">
        <w:rPr>
          <w:color w:val="000000" w:themeColor="text1"/>
          <w:sz w:val="24"/>
          <w:szCs w:val="24"/>
        </w:rPr>
        <w:t>9. Limitations and Risks</w:t>
      </w:r>
    </w:p>
    <w:p w14:paraId="0AAC2355"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Sim-to-real gap: synthetically generated, guideline-validated vignettes may not fully capture the ambiguity and emotional register of real patient language, and the absence of clinician-authored or clinician-reviewed cases (a deliberate trade-off for avoiding human-subjects review) further widens this gap; adversarial paraphrase construction and guideline grounding will partially mitigate this, but it will be stated explicitly as a limitation, alongside a note that a future, IRB-approved extension with clinician validation would strengthen real-world validity claims.</w:t>
      </w:r>
    </w:p>
    <w:p w14:paraId="08D43140"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Ceiling vs. real-world estimates: the Phase VI remediation's headline result is expected to be obtained under idealized (ceiling-estimate) conditions using synthetic follow-up answers derived from known true labels; this will be explicitly reported as evidence of architectural capability rather than a measurement of real-world performance, and the gap between the two will be identified as a specific, named item for a live-conversation follow-up evaluation.</w:t>
      </w:r>
    </w:p>
    <w:p w14:paraId="4F720EA9"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Corpus and test-material provenance: the retrieval corpus and vignette testbed are expected to be self-authored rather than drawn from licensed, clinician-reviewed sources at the outset; this is an open item to be tracked explicitly (with a documented scope decision, Section 6) rather than an assumption that resolves itself as the project proceeds.</w:t>
      </w:r>
    </w:p>
    <w:p w14:paraId="65A93BE3"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Guardrail coverage: a rule-plus-classifier safety layer cannot guarantee exhaustive coverage of all possible emergency phrasings, and restructuring to an ordinal scheme is not expected to eliminate this — only to make the residual risk more precisely diagnosable; residual risk will be quantified and reported as a bounded missed-emergency rate, never assumed away.</w:t>
      </w:r>
    </w:p>
    <w:p w14:paraId="3D2D19B3" w14:textId="77777777" w:rsidR="00CB52D4" w:rsidRPr="00C456E6" w:rsidRDefault="00000000">
      <w:pPr>
        <w:pStyle w:val="ListParagraph"/>
        <w:numPr>
          <w:ilvl w:val="0"/>
          <w:numId w:val="1"/>
        </w:numPr>
        <w:spacing w:after="100"/>
        <w:rPr>
          <w:color w:val="000000" w:themeColor="text1"/>
          <w:sz w:val="24"/>
          <w:szCs w:val="24"/>
        </w:rPr>
      </w:pPr>
      <w:r w:rsidRPr="00C456E6">
        <w:rPr>
          <w:color w:val="000000" w:themeColor="text1"/>
          <w:sz w:val="24"/>
          <w:szCs w:val="24"/>
        </w:rPr>
        <w:t xml:space="preserve">Automated-evaluation validity: because no clinician review is used by default, the rubric-based and LLM-judge scoring protocol itself becomes a load-bearing part of the validity argument; this risk is mitigated by the project's cross-cutting commitment (Objective 4) to validate every automated scorer against an independent or gold-standard baseline and </w:t>
      </w:r>
      <w:r w:rsidRPr="00C456E6">
        <w:rPr>
          <w:color w:val="000000" w:themeColor="text1"/>
          <w:sz w:val="24"/>
          <w:szCs w:val="24"/>
        </w:rPr>
        <w:lastRenderedPageBreak/>
        <w:t>to report agreement rates explicitly, but this remains a weaker validity source than human clinical expert review and will be discussed as such throughout the thesis.</w:t>
      </w:r>
    </w:p>
    <w:p w14:paraId="6AD8D987" w14:textId="77777777" w:rsidR="00C456E6" w:rsidRDefault="00C456E6">
      <w:pPr>
        <w:pStyle w:val="Heading1"/>
        <w:spacing w:before="320" w:after="160"/>
        <w:rPr>
          <w:color w:val="000000" w:themeColor="text1"/>
          <w:sz w:val="24"/>
          <w:szCs w:val="24"/>
        </w:rPr>
      </w:pPr>
    </w:p>
    <w:p w14:paraId="458AD347" w14:textId="77777777" w:rsidR="00C456E6" w:rsidRDefault="00C456E6">
      <w:pPr>
        <w:pStyle w:val="Heading1"/>
        <w:spacing w:before="320" w:after="160"/>
        <w:rPr>
          <w:color w:val="000000" w:themeColor="text1"/>
          <w:sz w:val="24"/>
          <w:szCs w:val="24"/>
        </w:rPr>
      </w:pPr>
    </w:p>
    <w:p w14:paraId="74F68187" w14:textId="77777777" w:rsidR="00C456E6" w:rsidRDefault="00C456E6">
      <w:pPr>
        <w:pStyle w:val="Heading1"/>
        <w:spacing w:before="320" w:after="160"/>
        <w:rPr>
          <w:color w:val="000000" w:themeColor="text1"/>
          <w:sz w:val="24"/>
          <w:szCs w:val="24"/>
        </w:rPr>
      </w:pPr>
    </w:p>
    <w:p w14:paraId="75E403F1" w14:textId="77777777" w:rsidR="00C456E6" w:rsidRDefault="00C456E6">
      <w:pPr>
        <w:pStyle w:val="Heading1"/>
        <w:spacing w:before="320" w:after="160"/>
        <w:rPr>
          <w:color w:val="000000" w:themeColor="text1"/>
          <w:sz w:val="24"/>
          <w:szCs w:val="24"/>
        </w:rPr>
      </w:pPr>
    </w:p>
    <w:p w14:paraId="68FFC81F" w14:textId="77777777" w:rsidR="00C456E6" w:rsidRDefault="00C456E6">
      <w:pPr>
        <w:pStyle w:val="Heading1"/>
        <w:spacing w:before="320" w:after="160"/>
        <w:rPr>
          <w:color w:val="000000" w:themeColor="text1"/>
          <w:sz w:val="24"/>
          <w:szCs w:val="24"/>
        </w:rPr>
      </w:pPr>
    </w:p>
    <w:p w14:paraId="0A34B170" w14:textId="77777777" w:rsidR="00C456E6" w:rsidRDefault="00C456E6">
      <w:pPr>
        <w:pStyle w:val="Heading1"/>
        <w:spacing w:before="320" w:after="160"/>
        <w:rPr>
          <w:color w:val="000000" w:themeColor="text1"/>
          <w:sz w:val="24"/>
          <w:szCs w:val="24"/>
        </w:rPr>
      </w:pPr>
    </w:p>
    <w:p w14:paraId="4EFDB944" w14:textId="77777777" w:rsidR="00C456E6" w:rsidRDefault="00C456E6">
      <w:pPr>
        <w:pStyle w:val="Heading1"/>
        <w:spacing w:before="320" w:after="160"/>
        <w:rPr>
          <w:color w:val="000000" w:themeColor="text1"/>
          <w:sz w:val="24"/>
          <w:szCs w:val="24"/>
        </w:rPr>
      </w:pPr>
    </w:p>
    <w:p w14:paraId="3A93F702" w14:textId="77777777" w:rsidR="00C456E6" w:rsidRDefault="00C456E6">
      <w:pPr>
        <w:pStyle w:val="Heading1"/>
        <w:spacing w:before="320" w:after="160"/>
        <w:rPr>
          <w:color w:val="000000" w:themeColor="text1"/>
          <w:sz w:val="24"/>
          <w:szCs w:val="24"/>
        </w:rPr>
      </w:pPr>
    </w:p>
    <w:p w14:paraId="641E6B7D" w14:textId="77777777" w:rsidR="00C456E6" w:rsidRDefault="00C456E6">
      <w:pPr>
        <w:pStyle w:val="Heading1"/>
        <w:spacing w:before="320" w:after="160"/>
        <w:rPr>
          <w:color w:val="000000" w:themeColor="text1"/>
          <w:sz w:val="24"/>
          <w:szCs w:val="24"/>
        </w:rPr>
      </w:pPr>
    </w:p>
    <w:p w14:paraId="0D8E35E8" w14:textId="77777777" w:rsidR="00C456E6" w:rsidRDefault="00C456E6">
      <w:pPr>
        <w:pStyle w:val="Heading1"/>
        <w:spacing w:before="320" w:after="160"/>
        <w:rPr>
          <w:color w:val="000000" w:themeColor="text1"/>
          <w:sz w:val="24"/>
          <w:szCs w:val="24"/>
        </w:rPr>
      </w:pPr>
    </w:p>
    <w:p w14:paraId="331744F2" w14:textId="77777777" w:rsidR="00C456E6" w:rsidRDefault="00C456E6">
      <w:pPr>
        <w:pStyle w:val="Heading1"/>
        <w:spacing w:before="320" w:after="160"/>
        <w:rPr>
          <w:color w:val="000000" w:themeColor="text1"/>
          <w:sz w:val="24"/>
          <w:szCs w:val="24"/>
        </w:rPr>
      </w:pPr>
    </w:p>
    <w:p w14:paraId="48B7199A" w14:textId="77777777" w:rsidR="00C456E6" w:rsidRDefault="00C456E6">
      <w:pPr>
        <w:pStyle w:val="Heading1"/>
        <w:spacing w:before="320" w:after="160"/>
        <w:rPr>
          <w:color w:val="000000" w:themeColor="text1"/>
          <w:sz w:val="24"/>
          <w:szCs w:val="24"/>
        </w:rPr>
      </w:pPr>
    </w:p>
    <w:p w14:paraId="37E5B2F8" w14:textId="77777777" w:rsidR="00C456E6" w:rsidRDefault="00C456E6">
      <w:pPr>
        <w:pStyle w:val="Heading1"/>
        <w:spacing w:before="320" w:after="160"/>
        <w:rPr>
          <w:color w:val="000000" w:themeColor="text1"/>
          <w:sz w:val="24"/>
          <w:szCs w:val="24"/>
        </w:rPr>
      </w:pPr>
    </w:p>
    <w:p w14:paraId="2DC7448D" w14:textId="77777777" w:rsidR="00C456E6" w:rsidRDefault="00C456E6">
      <w:pPr>
        <w:pStyle w:val="Heading1"/>
        <w:spacing w:before="320" w:after="160"/>
        <w:rPr>
          <w:color w:val="000000" w:themeColor="text1"/>
          <w:sz w:val="24"/>
          <w:szCs w:val="24"/>
        </w:rPr>
      </w:pPr>
    </w:p>
    <w:p w14:paraId="497D8214" w14:textId="77777777" w:rsidR="00C456E6" w:rsidRDefault="00C456E6">
      <w:pPr>
        <w:pStyle w:val="Heading1"/>
        <w:spacing w:before="320" w:after="160"/>
        <w:rPr>
          <w:color w:val="000000" w:themeColor="text1"/>
          <w:sz w:val="24"/>
          <w:szCs w:val="24"/>
        </w:rPr>
      </w:pPr>
    </w:p>
    <w:p w14:paraId="23883040" w14:textId="77777777" w:rsidR="00C456E6" w:rsidRDefault="00C456E6">
      <w:pPr>
        <w:pStyle w:val="Heading1"/>
        <w:spacing w:before="320" w:after="160"/>
        <w:rPr>
          <w:color w:val="000000" w:themeColor="text1"/>
          <w:sz w:val="24"/>
          <w:szCs w:val="24"/>
        </w:rPr>
      </w:pPr>
    </w:p>
    <w:p w14:paraId="557EE485" w14:textId="3AAFD819" w:rsidR="00CB52D4" w:rsidRPr="00C456E6" w:rsidRDefault="00000000">
      <w:pPr>
        <w:pStyle w:val="Heading1"/>
        <w:spacing w:before="320" w:after="160"/>
        <w:rPr>
          <w:color w:val="000000" w:themeColor="text1"/>
          <w:sz w:val="24"/>
          <w:szCs w:val="24"/>
        </w:rPr>
      </w:pPr>
      <w:r w:rsidRPr="00C456E6">
        <w:rPr>
          <w:color w:val="000000" w:themeColor="text1"/>
          <w:sz w:val="24"/>
          <w:szCs w:val="24"/>
        </w:rPr>
        <w:t>References</w:t>
      </w:r>
    </w:p>
    <w:p w14:paraId="0011A6B9"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Chen, W. et al. (2025). </w:t>
      </w:r>
      <w:proofErr w:type="spellStart"/>
      <w:r w:rsidRPr="00C456E6">
        <w:rPr>
          <w:rFonts w:eastAsia="Calibri"/>
          <w:color w:val="000000" w:themeColor="text1"/>
          <w:sz w:val="24"/>
          <w:szCs w:val="24"/>
        </w:rPr>
        <w:t>Medbullets</w:t>
      </w:r>
      <w:proofErr w:type="spellEnd"/>
      <w:r w:rsidRPr="00C456E6">
        <w:rPr>
          <w:rFonts w:eastAsia="Calibri"/>
          <w:color w:val="000000" w:themeColor="text1"/>
          <w:sz w:val="24"/>
          <w:szCs w:val="24"/>
        </w:rPr>
        <w:t>: USMLE Step 2/3-style clinical vignette benchmark.</w:t>
      </w:r>
    </w:p>
    <w:p w14:paraId="4035C9F8"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Jin, D. et al. (2021). </w:t>
      </w:r>
      <w:proofErr w:type="spellStart"/>
      <w:r w:rsidRPr="00C456E6">
        <w:rPr>
          <w:rFonts w:eastAsia="Calibri"/>
          <w:color w:val="000000" w:themeColor="text1"/>
          <w:sz w:val="24"/>
          <w:szCs w:val="24"/>
        </w:rPr>
        <w:t>MedQA</w:t>
      </w:r>
      <w:proofErr w:type="spellEnd"/>
      <w:r w:rsidRPr="00C456E6">
        <w:rPr>
          <w:rFonts w:eastAsia="Calibri"/>
          <w:color w:val="000000" w:themeColor="text1"/>
          <w:sz w:val="24"/>
          <w:szCs w:val="24"/>
        </w:rPr>
        <w:t>: A medical question answering dataset constructed from professional medical licensing examinations.</w:t>
      </w:r>
    </w:p>
    <w:p w14:paraId="6A9202DD"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Pal, A., Umapathi, L. K., &amp; Sankarasubbu, M. (2022). </w:t>
      </w:r>
      <w:proofErr w:type="spellStart"/>
      <w:r w:rsidRPr="00C456E6">
        <w:rPr>
          <w:rFonts w:eastAsia="Calibri"/>
          <w:color w:val="000000" w:themeColor="text1"/>
          <w:sz w:val="24"/>
          <w:szCs w:val="24"/>
        </w:rPr>
        <w:t>MedMCQA</w:t>
      </w:r>
      <w:proofErr w:type="spellEnd"/>
      <w:r w:rsidRPr="00C456E6">
        <w:rPr>
          <w:rFonts w:eastAsia="Calibri"/>
          <w:color w:val="000000" w:themeColor="text1"/>
          <w:sz w:val="24"/>
          <w:szCs w:val="24"/>
        </w:rPr>
        <w:t>: A large-scale multi-subject multi-choice dataset for medical domain question answering.</w:t>
      </w:r>
    </w:p>
    <w:p w14:paraId="7E84C29B"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lastRenderedPageBreak/>
        <w:t>Privacy-Preserving Clinical Decision Support for Emergency Triage Using LLMs: System Architecture and Real-World Evaluation. Applied Sciences, 15(15), 8412 (2025). https://www.mdpi.com/2076-3417/15/15/8412</w:t>
      </w:r>
    </w:p>
    <w:p w14:paraId="462AAAD8"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Representation Before Retrieval: Structured Patient Artifacts Reduce Hallucination in Clinical AI Systems. </w:t>
      </w:r>
      <w:proofErr w:type="spellStart"/>
      <w:r w:rsidRPr="00C456E6">
        <w:rPr>
          <w:rFonts w:eastAsia="Calibri"/>
          <w:color w:val="000000" w:themeColor="text1"/>
          <w:sz w:val="24"/>
          <w:szCs w:val="24"/>
        </w:rPr>
        <w:t>medRxiv</w:t>
      </w:r>
      <w:proofErr w:type="spellEnd"/>
      <w:r w:rsidRPr="00C456E6">
        <w:rPr>
          <w:rFonts w:eastAsia="Calibri"/>
          <w:color w:val="000000" w:themeColor="text1"/>
          <w:sz w:val="24"/>
          <w:szCs w:val="24"/>
        </w:rPr>
        <w:t xml:space="preserve"> (2026). https://www.medrxiv.org/content/10.64898/2026.02.13.26346256v1.full</w:t>
      </w:r>
    </w:p>
    <w:p w14:paraId="6DE907F1"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Retrieval-Augmented Generation (RAG) vs. Fine-Tuning: A Systematic Review of Hallucination Mitigation in Medical LLMs. </w:t>
      </w:r>
      <w:proofErr w:type="spellStart"/>
      <w:r w:rsidRPr="00C456E6">
        <w:rPr>
          <w:rFonts w:eastAsia="Calibri"/>
          <w:color w:val="000000" w:themeColor="text1"/>
          <w:sz w:val="24"/>
          <w:szCs w:val="24"/>
        </w:rPr>
        <w:t>Authorea</w:t>
      </w:r>
      <w:proofErr w:type="spellEnd"/>
      <w:r w:rsidRPr="00C456E6">
        <w:rPr>
          <w:rFonts w:eastAsia="Calibri"/>
          <w:color w:val="000000" w:themeColor="text1"/>
          <w:sz w:val="24"/>
          <w:szCs w:val="24"/>
        </w:rPr>
        <w:t xml:space="preserve"> (2026). https://www.authorea.com/doi/full/10.22541/au.176903295.54191070/v1</w:t>
      </w:r>
    </w:p>
    <w:p w14:paraId="1FE2A2D6"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Retrieval-augmented generation elevates local LLM quality in radiology contrast media consultation. PMC12223273 (2025). https://pmc.ncbi.nlm.nih.gov/articles/PMC12223273/</w:t>
      </w:r>
    </w:p>
    <w:p w14:paraId="548DB000"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Sellergren, A. et al. (2025). </w:t>
      </w:r>
      <w:proofErr w:type="spellStart"/>
      <w:r w:rsidRPr="00C456E6">
        <w:rPr>
          <w:rFonts w:eastAsia="Calibri"/>
          <w:color w:val="000000" w:themeColor="text1"/>
          <w:sz w:val="24"/>
          <w:szCs w:val="24"/>
        </w:rPr>
        <w:t>MedGemma</w:t>
      </w:r>
      <w:proofErr w:type="spellEnd"/>
      <w:r w:rsidRPr="00C456E6">
        <w:rPr>
          <w:rFonts w:eastAsia="Calibri"/>
          <w:color w:val="000000" w:themeColor="text1"/>
          <w:sz w:val="24"/>
          <w:szCs w:val="24"/>
        </w:rPr>
        <w:t xml:space="preserve"> technical report.</w:t>
      </w:r>
    </w:p>
    <w:p w14:paraId="5AA5DC0C" w14:textId="77777777" w:rsidR="00CB52D4" w:rsidRPr="00C456E6" w:rsidRDefault="00000000" w:rsidP="00C456E6">
      <w:pPr>
        <w:pStyle w:val="ListParagraph"/>
        <w:numPr>
          <w:ilvl w:val="0"/>
          <w:numId w:val="2"/>
        </w:numPr>
        <w:spacing w:after="160"/>
        <w:rPr>
          <w:color w:val="000000" w:themeColor="text1"/>
          <w:sz w:val="24"/>
          <w:szCs w:val="24"/>
        </w:rPr>
      </w:pPr>
      <w:proofErr w:type="spellStart"/>
      <w:r w:rsidRPr="00C456E6">
        <w:rPr>
          <w:rFonts w:eastAsia="Calibri"/>
          <w:color w:val="000000" w:themeColor="text1"/>
          <w:sz w:val="24"/>
          <w:szCs w:val="24"/>
        </w:rPr>
        <w:t>sebis</w:t>
      </w:r>
      <w:proofErr w:type="spellEnd"/>
      <w:r w:rsidRPr="00C456E6">
        <w:rPr>
          <w:rFonts w:eastAsia="Calibri"/>
          <w:color w:val="000000" w:themeColor="text1"/>
          <w:sz w:val="24"/>
          <w:szCs w:val="24"/>
        </w:rPr>
        <w:t xml:space="preserve"> at CRF Filling 2026: A Two-Stage Local LLM Pipeline for Medical CRF Filling. arXiv:2606.13082. https://arxiv.org/pdf/2606.13082</w:t>
      </w:r>
    </w:p>
    <w:p w14:paraId="27F78F5A"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MEGA-RAG: A retrieval-augmented generation framework with multi-evidence guided answer refinement for mitigating hallucinations of LLMs in public health. PMC12540348 (2025). https://www.ncbi.nlm.nih.gov/pmc/articles/PMC12540348/</w:t>
      </w:r>
    </w:p>
    <w:p w14:paraId="5F43451D" w14:textId="77777777" w:rsidR="00CB52D4" w:rsidRPr="00C456E6" w:rsidRDefault="00000000" w:rsidP="00C456E6">
      <w:pPr>
        <w:pStyle w:val="ListParagraph"/>
        <w:numPr>
          <w:ilvl w:val="0"/>
          <w:numId w:val="2"/>
        </w:numPr>
        <w:spacing w:after="160"/>
        <w:rPr>
          <w:color w:val="000000" w:themeColor="text1"/>
          <w:sz w:val="24"/>
          <w:szCs w:val="24"/>
        </w:rPr>
      </w:pPr>
      <w:proofErr w:type="spellStart"/>
      <w:r w:rsidRPr="00C456E6">
        <w:rPr>
          <w:rFonts w:eastAsia="Calibri"/>
          <w:color w:val="000000" w:themeColor="text1"/>
          <w:sz w:val="24"/>
          <w:szCs w:val="24"/>
        </w:rPr>
        <w:t>MedXpertQA</w:t>
      </w:r>
      <w:proofErr w:type="spellEnd"/>
      <w:r w:rsidRPr="00C456E6">
        <w:rPr>
          <w:rFonts w:eastAsia="Calibri"/>
          <w:color w:val="000000" w:themeColor="text1"/>
          <w:sz w:val="24"/>
          <w:szCs w:val="24"/>
        </w:rPr>
        <w:t>: Benchmarking Expert-Level Medical Reasoning and Understanding. Zuo, Y. et al. (2025), ICML 2025. https://github.com/TsinghuaC3I/MedXpertQA</w:t>
      </w:r>
    </w:p>
    <w:p w14:paraId="32BF4613"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Toward Zero-Egress Psychiatric AI: On-Device LLM Deployment for Privacy-Preserving Mental Health Decision Support. arXiv:2604.18302 (2026). https://arxiv.org/html/2604.18302v1</w:t>
      </w:r>
    </w:p>
    <w:p w14:paraId="6EF006E3"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Gomez-Cabello, C.A., Prabha, S., Haider, S.A., Genovese, A., Collaco, B.G., Wood, N.G., </w:t>
      </w:r>
      <w:proofErr w:type="spellStart"/>
      <w:r w:rsidRPr="00C456E6">
        <w:rPr>
          <w:rFonts w:eastAsia="Calibri"/>
          <w:color w:val="000000" w:themeColor="text1"/>
          <w:sz w:val="24"/>
          <w:szCs w:val="24"/>
        </w:rPr>
        <w:t>Bagaria</w:t>
      </w:r>
      <w:proofErr w:type="spellEnd"/>
      <w:r w:rsidRPr="00C456E6">
        <w:rPr>
          <w:rFonts w:eastAsia="Calibri"/>
          <w:color w:val="000000" w:themeColor="text1"/>
          <w:sz w:val="24"/>
          <w:szCs w:val="24"/>
        </w:rPr>
        <w:t>, S. &amp; Forte, A.J. (2025). Comparative Evaluation of Advanced Chunking for Retrieval-Augmented Generation in Large Language Models for Clinical Decision Support. Bioengineering, 12(11), 1194. https://doi.org/10.3390/bioengineering12111194</w:t>
      </w:r>
    </w:p>
    <w:p w14:paraId="09453751" w14:textId="77777777"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Gungor, O., Sood, R., Wang, H. &amp; Rosing, T. (2025). AQUA-LLM: Evaluating Accuracy, Quantization, and Adversarial Robustness Trade-offs in LLMs for Cybersecurity Question Answering. </w:t>
      </w:r>
      <w:proofErr w:type="spellStart"/>
      <w:r w:rsidRPr="00C456E6">
        <w:rPr>
          <w:rFonts w:eastAsia="Calibri"/>
          <w:color w:val="000000" w:themeColor="text1"/>
          <w:sz w:val="24"/>
          <w:szCs w:val="24"/>
        </w:rPr>
        <w:t>arXiv</w:t>
      </w:r>
      <w:proofErr w:type="spellEnd"/>
      <w:r w:rsidRPr="00C456E6">
        <w:rPr>
          <w:rFonts w:eastAsia="Calibri"/>
          <w:color w:val="000000" w:themeColor="text1"/>
          <w:sz w:val="24"/>
          <w:szCs w:val="24"/>
        </w:rPr>
        <w:t xml:space="preserve"> preprint. https://doi.org/10.48550/arXiv.2509.13514</w:t>
      </w:r>
    </w:p>
    <w:p w14:paraId="27F8263D" w14:textId="27416C06" w:rsidR="00C456E6"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Zheng, L. et al. (2023). Judging LLM-as-a-judge with MT-Bench and Chatbot Arena. arXiv:2306.05685. </w:t>
      </w:r>
      <w:hyperlink r:id="rId5" w:history="1">
        <w:r w:rsidR="00C456E6" w:rsidRPr="00A46566">
          <w:rPr>
            <w:rStyle w:val="Hyperlink"/>
            <w:rFonts w:eastAsia="Calibri"/>
            <w:sz w:val="24"/>
            <w:szCs w:val="24"/>
          </w:rPr>
          <w:t>https://doi.org/10.48550/arXiv.2306.05685</w:t>
        </w:r>
      </w:hyperlink>
    </w:p>
    <w:p w14:paraId="1259D99E" w14:textId="1A28CC2F" w:rsidR="00C456E6"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t xml:space="preserve">Kopka, M., Napierala, H., </w:t>
      </w:r>
      <w:proofErr w:type="spellStart"/>
      <w:r w:rsidRPr="00C456E6">
        <w:rPr>
          <w:rFonts w:eastAsia="Calibri"/>
          <w:color w:val="000000" w:themeColor="text1"/>
          <w:sz w:val="24"/>
          <w:szCs w:val="24"/>
        </w:rPr>
        <w:t>Privoznik</w:t>
      </w:r>
      <w:proofErr w:type="spellEnd"/>
      <w:r w:rsidRPr="00C456E6">
        <w:rPr>
          <w:rFonts w:eastAsia="Calibri"/>
          <w:color w:val="000000" w:themeColor="text1"/>
          <w:sz w:val="24"/>
          <w:szCs w:val="24"/>
        </w:rPr>
        <w:t xml:space="preserve">, M., Sapunova, D., Zhang, S. &amp; </w:t>
      </w:r>
      <w:proofErr w:type="spellStart"/>
      <w:r w:rsidRPr="00C456E6">
        <w:rPr>
          <w:rFonts w:eastAsia="Calibri"/>
          <w:color w:val="000000" w:themeColor="text1"/>
          <w:sz w:val="24"/>
          <w:szCs w:val="24"/>
        </w:rPr>
        <w:t>Feufel</w:t>
      </w:r>
      <w:proofErr w:type="spellEnd"/>
      <w:r w:rsidRPr="00C456E6">
        <w:rPr>
          <w:rFonts w:eastAsia="Calibri"/>
          <w:color w:val="000000" w:themeColor="text1"/>
          <w:sz w:val="24"/>
          <w:szCs w:val="24"/>
        </w:rPr>
        <w:t xml:space="preserve">, M. A. (2024). The </w:t>
      </w:r>
      <w:proofErr w:type="spellStart"/>
      <w:r w:rsidRPr="00C456E6">
        <w:rPr>
          <w:rFonts w:eastAsia="Calibri"/>
          <w:color w:val="000000" w:themeColor="text1"/>
          <w:sz w:val="24"/>
          <w:szCs w:val="24"/>
        </w:rPr>
        <w:t>RepVig</w:t>
      </w:r>
      <w:proofErr w:type="spellEnd"/>
      <w:r w:rsidRPr="00C456E6">
        <w:rPr>
          <w:rFonts w:eastAsia="Calibri"/>
          <w:color w:val="000000" w:themeColor="text1"/>
          <w:sz w:val="24"/>
          <w:szCs w:val="24"/>
        </w:rPr>
        <w:t xml:space="preserve"> framework for designing use-case specific representative vignettes and evaluating triage accuracy of laypeople and symptom assessment applications. Scientific Reports 14. </w:t>
      </w:r>
      <w:hyperlink r:id="rId6" w:history="1">
        <w:r w:rsidR="00C456E6" w:rsidRPr="00A46566">
          <w:rPr>
            <w:rStyle w:val="Hyperlink"/>
            <w:rFonts w:eastAsia="Calibri"/>
            <w:sz w:val="24"/>
            <w:szCs w:val="24"/>
          </w:rPr>
          <w:t>https://doi.org/10.1038/s41598-024-83844-z</w:t>
        </w:r>
      </w:hyperlink>
    </w:p>
    <w:p w14:paraId="15CFA768" w14:textId="7BA8B5F8" w:rsidR="00CB52D4" w:rsidRPr="00C456E6" w:rsidRDefault="00000000" w:rsidP="00C456E6">
      <w:pPr>
        <w:pStyle w:val="ListParagraph"/>
        <w:numPr>
          <w:ilvl w:val="0"/>
          <w:numId w:val="2"/>
        </w:numPr>
        <w:spacing w:after="160"/>
        <w:rPr>
          <w:color w:val="000000" w:themeColor="text1"/>
          <w:sz w:val="24"/>
          <w:szCs w:val="24"/>
        </w:rPr>
      </w:pPr>
      <w:r w:rsidRPr="00C456E6">
        <w:rPr>
          <w:rFonts w:eastAsia="Calibri"/>
          <w:color w:val="000000" w:themeColor="text1"/>
          <w:sz w:val="24"/>
          <w:szCs w:val="24"/>
        </w:rPr>
        <w:lastRenderedPageBreak/>
        <w:t>Friedman, A. B., Delgado, M. K. &amp; Weissman, G. E. (2024). Artificial Intelligence for Emergency Care Triage—Much Promise, but Still Much to Learn. JAMA Network Open 7(5), e248857. https://doi.org/10.1001/jamanetworkopen.2024.8857</w:t>
      </w:r>
    </w:p>
    <w:sectPr w:rsidR="00CB52D4" w:rsidRPr="00C456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81909"/>
    <w:multiLevelType w:val="hybridMultilevel"/>
    <w:tmpl w:val="6DEC674A"/>
    <w:lvl w:ilvl="0" w:tplc="FC8890BC">
      <w:start w:val="1"/>
      <w:numFmt w:val="bullet"/>
      <w:lvlText w:val="●"/>
      <w:lvlJc w:val="left"/>
      <w:pPr>
        <w:ind w:left="720" w:hanging="360"/>
      </w:pPr>
    </w:lvl>
    <w:lvl w:ilvl="1" w:tplc="0A745FF8">
      <w:start w:val="1"/>
      <w:numFmt w:val="bullet"/>
      <w:lvlText w:val="○"/>
      <w:lvlJc w:val="left"/>
      <w:pPr>
        <w:ind w:left="1440" w:hanging="360"/>
      </w:pPr>
    </w:lvl>
    <w:lvl w:ilvl="2" w:tplc="0EFEA30A">
      <w:start w:val="1"/>
      <w:numFmt w:val="bullet"/>
      <w:lvlText w:val="■"/>
      <w:lvlJc w:val="left"/>
      <w:pPr>
        <w:ind w:left="2160" w:hanging="360"/>
      </w:pPr>
    </w:lvl>
    <w:lvl w:ilvl="3" w:tplc="53CC18C6">
      <w:start w:val="1"/>
      <w:numFmt w:val="bullet"/>
      <w:lvlText w:val="●"/>
      <w:lvlJc w:val="left"/>
      <w:pPr>
        <w:ind w:left="2880" w:hanging="360"/>
      </w:pPr>
    </w:lvl>
    <w:lvl w:ilvl="4" w:tplc="B4B2ADC8">
      <w:start w:val="1"/>
      <w:numFmt w:val="bullet"/>
      <w:lvlText w:val="○"/>
      <w:lvlJc w:val="left"/>
      <w:pPr>
        <w:ind w:left="3600" w:hanging="360"/>
      </w:pPr>
    </w:lvl>
    <w:lvl w:ilvl="5" w:tplc="659C8CFE">
      <w:start w:val="1"/>
      <w:numFmt w:val="bullet"/>
      <w:lvlText w:val="■"/>
      <w:lvlJc w:val="left"/>
      <w:pPr>
        <w:ind w:left="4320" w:hanging="360"/>
      </w:pPr>
    </w:lvl>
    <w:lvl w:ilvl="6" w:tplc="7C6E28F6">
      <w:start w:val="1"/>
      <w:numFmt w:val="bullet"/>
      <w:lvlText w:val="●"/>
      <w:lvlJc w:val="left"/>
      <w:pPr>
        <w:ind w:left="5040" w:hanging="360"/>
      </w:pPr>
    </w:lvl>
    <w:lvl w:ilvl="7" w:tplc="E1481372">
      <w:start w:val="1"/>
      <w:numFmt w:val="bullet"/>
      <w:lvlText w:val="●"/>
      <w:lvlJc w:val="left"/>
      <w:pPr>
        <w:ind w:left="5760" w:hanging="360"/>
      </w:pPr>
    </w:lvl>
    <w:lvl w:ilvl="8" w:tplc="4050AC7A">
      <w:start w:val="1"/>
      <w:numFmt w:val="bullet"/>
      <w:lvlText w:val="●"/>
      <w:lvlJc w:val="left"/>
      <w:pPr>
        <w:ind w:left="6480" w:hanging="360"/>
      </w:pPr>
    </w:lvl>
  </w:abstractNum>
  <w:abstractNum w:abstractNumId="1" w15:restartNumberingAfterBreak="0">
    <w:nsid w:val="611D6A40"/>
    <w:multiLevelType w:val="hybridMultilevel"/>
    <w:tmpl w:val="BCA22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7849517">
    <w:abstractNumId w:val="0"/>
    <w:lvlOverride w:ilvl="0">
      <w:startOverride w:val="1"/>
    </w:lvlOverride>
  </w:num>
  <w:num w:numId="2" w16cid:durableId="1419674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2D4"/>
    <w:rsid w:val="00C41E4F"/>
    <w:rsid w:val="00C456E6"/>
    <w:rsid w:val="00CB52D4"/>
    <w:rsid w:val="00F665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A0BBD2"/>
  <w15:docId w15:val="{34710CEE-0BD0-1B4C-A0D0-ADBBE94D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5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98-024-83844-z" TargetMode="External"/><Relationship Id="rId5" Type="http://schemas.openxmlformats.org/officeDocument/2006/relationships/hyperlink" Target="https://doi.org/10.48550/arXiv.2306.0568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6300</Words>
  <Characters>35916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nicole tan</cp:lastModifiedBy>
  <cp:revision>2</cp:revision>
  <dcterms:created xsi:type="dcterms:W3CDTF">2026-08-11T12:06:00Z</dcterms:created>
  <dcterms:modified xsi:type="dcterms:W3CDTF">2026-08-11T12:19:00Z</dcterms:modified>
</cp:coreProperties>
</file>