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A190" w14:textId="7BA6579D" w:rsidR="0010622A" w:rsidRPr="0010622A" w:rsidRDefault="0010622A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10622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Packages:</w:t>
      </w:r>
    </w:p>
    <w:p w14:paraId="377C2203" w14:textId="7E0C109C" w:rsidR="0010622A" w:rsidRDefault="00966E6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4" w:history="1">
        <w:r w:rsidR="0010622A" w:rsidRPr="007F299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http://www.bios.unc.edu/research/genomic_software/Matrix_eQTL/</w:t>
        </w:r>
      </w:hyperlink>
    </w:p>
    <w:p w14:paraId="4DB28AB4" w14:textId="16DE6551" w:rsidR="0010622A" w:rsidRDefault="0010622A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Shabalin</w:t>
      </w:r>
      <w:proofErr w:type="spellEnd"/>
      <w:r>
        <w:rPr>
          <w:color w:val="000000"/>
          <w:sz w:val="27"/>
          <w:szCs w:val="27"/>
        </w:rPr>
        <w:t xml:space="preserve">, A.A. Matrix </w:t>
      </w:r>
      <w:proofErr w:type="spellStart"/>
      <w:r>
        <w:rPr>
          <w:color w:val="000000"/>
          <w:sz w:val="27"/>
          <w:szCs w:val="27"/>
        </w:rPr>
        <w:t>eQTL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Ultra fast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eQTL</w:t>
      </w:r>
      <w:proofErr w:type="spellEnd"/>
      <w:r>
        <w:rPr>
          <w:color w:val="000000"/>
          <w:sz w:val="27"/>
          <w:szCs w:val="27"/>
        </w:rPr>
        <w:t xml:space="preserve"> analysis via large matrix operations. </w:t>
      </w:r>
      <w:r>
        <w:rPr>
          <w:i/>
          <w:iCs/>
          <w:color w:val="000000"/>
          <w:sz w:val="27"/>
          <w:szCs w:val="27"/>
        </w:rPr>
        <w:t>Bioinformatics</w:t>
      </w:r>
      <w:r>
        <w:rPr>
          <w:color w:val="000000"/>
          <w:sz w:val="27"/>
          <w:szCs w:val="27"/>
        </w:rPr>
        <w:t> 28, no. 10 (2012): 1353-1358. </w:t>
      </w:r>
    </w:p>
    <w:p w14:paraId="6CE18979" w14:textId="77777777" w:rsidR="0010622A" w:rsidRDefault="0010622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C48A441" w14:textId="7AD55154" w:rsidR="0010622A" w:rsidRPr="0010622A" w:rsidRDefault="0010622A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10622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Methods Descriptions:</w:t>
      </w:r>
    </w:p>
    <w:p w14:paraId="5F329DC6" w14:textId="5BE0DB44" w:rsidR="002B7FF2" w:rsidRDefault="002B7FF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Fairfax, B. P., Makino, S., Radhakrishnan, J., Plant, K., Leslie,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Dilthey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... &amp; Knight, J. C. (2012). Genetics of gene expression in primary immune cells identifies cell type–specific master regulators and roles of HLA alleles.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genetics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502.</w:t>
      </w:r>
    </w:p>
    <w:p w14:paraId="4F78A30B" w14:textId="2B4DB557" w:rsidR="00D2024B" w:rsidRDefault="00D2024B">
      <w:pP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The quality control filtering for the genotyping data and association analysis was performed using PLINK</w:t>
      </w:r>
      <w:hyperlink r:id="rId5" w:anchor="ref63" w:tooltip="Purcell, S. et al. PLINK: a tool set for whole-genome association and population-based linkage analyses. Am. J. Hum. Genet. 81, 559–575 (2007)." w:history="1">
        <w:r>
          <w:rPr>
            <w:rStyle w:val="Hyperlink"/>
            <w:rFonts w:ascii="Times" w:hAnsi="Times" w:cs="Times"/>
            <w:color w:val="006699"/>
            <w:spacing w:val="3"/>
            <w:sz w:val="19"/>
            <w:szCs w:val="19"/>
          </w:rPr>
          <w:t>63</w:t>
        </w:r>
      </w:hyperlink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and Haploview</w:t>
      </w:r>
      <w:hyperlink r:id="rId6" w:anchor="ref64" w:tooltip="Barrett, J.C., Fry, B., Maller, J. &amp; Daly, M.J. Haploview: analysis and visualization of LD and haplotype maps. Bioinformatics 21, 263–265 (2005)." w:history="1">
        <w:r>
          <w:rPr>
            <w:rStyle w:val="Hyperlink"/>
            <w:rFonts w:ascii="Times" w:hAnsi="Times" w:cs="Times"/>
            <w:color w:val="006699"/>
            <w:spacing w:val="3"/>
            <w:sz w:val="19"/>
            <w:szCs w:val="19"/>
          </w:rPr>
          <w:t>64</w:t>
        </w:r>
      </w:hyperlink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, with imputation performed using Impute2 (ref. </w:t>
      </w:r>
      <w:hyperlink r:id="rId7" w:anchor="ref65" w:tooltip="Howie, B.N., Donnelly, P. &amp; Marchini, J. A flexible and accurate genotype imputation method for the next generation of genome-wide association studies. PLoS Genet. 5, e1000529 (2009)." w:history="1">
        <w:r>
          <w:rPr>
            <w:rStyle w:val="Hyperlink"/>
            <w:rFonts w:ascii="Times" w:hAnsi="Times" w:cs="Times"/>
            <w:color w:val="006699"/>
            <w:spacing w:val="3"/>
            <w:sz w:val="26"/>
            <w:szCs w:val="26"/>
            <w:shd w:val="clear" w:color="auto" w:fill="FFFFFF"/>
          </w:rPr>
          <w:t>65</w:t>
        </w:r>
      </w:hyperlink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). For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cis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associations, permutation analysis (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n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= 1,000) was performed by switching the phenotype labels. This number corresponds to an approximation of the number of SNPs tested per probe. The distribution of minimum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P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values in each permutation was used to identify significance thresholds. For </w:t>
      </w:r>
      <w:proofErr w:type="spellStart"/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cis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associations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, a permutation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P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value of 0.001 was used as the significance threshold for both monocytes and B cells. All significance values presented are based on the linear model unless otherwise stated. In addition to linear analysis, we performed Spearman rank analysis for all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cis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 associations and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eQTLs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 xml:space="preserve"> not observed to be additionally significant to permutation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P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value &lt; 0.001 using this analysis were excluded. For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trans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associations, Wald tests were used to identify the genome-wide associations, and significance thresholds were determined by Bonferroni correction of commonly accepted significance levels. To ensure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trans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associations were only called if robust expression was detected, associations with maximum normalized expression of &lt;6 were excluded. Due to power considerations, only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cis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and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  <w:shd w:val="clear" w:color="auto" w:fill="FFFFFF"/>
        </w:rPr>
        <w:t>trans</w:t>
      </w:r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 associations to SNPs and genes on autosomes are reported. Statistics were analyzed using R and appropriate packages. Graphs were generated using ggplot2 (ref. </w:t>
      </w:r>
      <w:hyperlink r:id="rId8" w:anchor="ref66" w:tooltip="Wickham, H. ggplot2: Elegant Graphics for Data Analysis (Springer, New York, 2009)." w:history="1">
        <w:r>
          <w:rPr>
            <w:rStyle w:val="Hyperlink"/>
            <w:rFonts w:ascii="Times" w:hAnsi="Times" w:cs="Times"/>
            <w:color w:val="006699"/>
            <w:spacing w:val="3"/>
            <w:sz w:val="26"/>
            <w:szCs w:val="26"/>
            <w:shd w:val="clear" w:color="auto" w:fill="FFFFFF"/>
          </w:rPr>
          <w:t>66</w:t>
        </w:r>
      </w:hyperlink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), and local association plots were generated with Locus Zoom</w:t>
      </w:r>
      <w:hyperlink r:id="rId9" w:anchor="ref67" w:tooltip="Pruim, R.J. et al. LocusZoom: regional visualization of genome-wide association scan results. Bioinformatics 26, 2336–2337 (2010)." w:history="1">
        <w:r>
          <w:rPr>
            <w:rStyle w:val="Hyperlink"/>
            <w:rFonts w:ascii="Times" w:hAnsi="Times" w:cs="Times"/>
            <w:color w:val="006699"/>
            <w:spacing w:val="3"/>
            <w:sz w:val="19"/>
            <w:szCs w:val="19"/>
          </w:rPr>
          <w:t>67</w:t>
        </w:r>
      </w:hyperlink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. HLA allele imputation was performed using HLA*IMP</w:t>
      </w:r>
      <w:hyperlink r:id="rId10" w:anchor="ref36" w:tooltip="Dilthey, A.T., Moutsianas, L., Leslie, S. &amp; McVean, G. HLA*IMP—an integrated framework for imputing classical HLA alleles from SNP genotypes. Bioinformatics 27, 968–972 (2011)." w:history="1">
        <w:r>
          <w:rPr>
            <w:rStyle w:val="Hyperlink"/>
            <w:rFonts w:ascii="Times" w:hAnsi="Times" w:cs="Times"/>
            <w:color w:val="006699"/>
            <w:spacing w:val="3"/>
            <w:sz w:val="19"/>
            <w:szCs w:val="19"/>
          </w:rPr>
          <w:t>36</w:t>
        </w:r>
      </w:hyperlink>
      <w:r>
        <w:rPr>
          <w:rFonts w:ascii="Times" w:hAnsi="Times" w:cs="Times"/>
          <w:color w:val="222222"/>
          <w:spacing w:val="3"/>
          <w:sz w:val="19"/>
          <w:szCs w:val="19"/>
          <w:shd w:val="clear" w:color="auto" w:fill="FFFFFF"/>
          <w:vertAlign w:val="superscript"/>
        </w:rPr>
        <w:t>,</w:t>
      </w:r>
      <w:hyperlink r:id="rId11" w:anchor="ref37" w:tooltip="Leslie, S., Donnelly, P. &amp; McVean, G. A statistical method for predicting classical HLA alleles from SNP data. Am. J. Hum. Genet. 82, 48–56 (2008)." w:history="1">
        <w:r>
          <w:rPr>
            <w:rStyle w:val="Hyperlink"/>
            <w:rFonts w:ascii="Times" w:hAnsi="Times" w:cs="Times"/>
            <w:color w:val="006699"/>
            <w:spacing w:val="3"/>
            <w:sz w:val="19"/>
            <w:szCs w:val="19"/>
          </w:rPr>
          <w:t>37</w:t>
        </w:r>
      </w:hyperlink>
      <w:r>
        <w:rPr>
          <w:rFonts w:ascii="Times" w:hAnsi="Times" w:cs="Times"/>
          <w:color w:val="222222"/>
          <w:spacing w:val="3"/>
          <w:sz w:val="26"/>
          <w:szCs w:val="26"/>
          <w:shd w:val="clear" w:color="auto" w:fill="FFFFFF"/>
        </w:rPr>
        <w:t>.</w:t>
      </w:r>
    </w:p>
    <w:p w14:paraId="3337070C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Christie,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Myburg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Joubert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Murray, S. L., Carstens, M., Lin, Y. C.,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Wighard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S. (2017). Systems genetics reveals a transcriptional network associated with susceptibility in the maize–grey leaf spot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pathosystem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Plant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746-763.</w:t>
      </w:r>
    </w:p>
    <w:p w14:paraId="2A536FBF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</w:p>
    <w:p w14:paraId="61380E0A" w14:textId="611629EE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An </w:t>
      </w:r>
      <w:proofErr w:type="spellStart"/>
      <w:r>
        <w:rPr>
          <w:rFonts w:ascii="AdvPSUnv" w:hAnsi="AdvPSUnv" w:cs="AdvPSUnv"/>
          <w:sz w:val="16"/>
          <w:szCs w:val="16"/>
        </w:rPr>
        <w:t>eQTL</w:t>
      </w:r>
      <w:proofErr w:type="spellEnd"/>
      <w:r>
        <w:rPr>
          <w:rFonts w:ascii="AdvPSUnv" w:hAnsi="AdvPSUnv" w:cs="AdvPSUnv"/>
          <w:sz w:val="16"/>
          <w:szCs w:val="16"/>
        </w:rPr>
        <w:t xml:space="preserve"> data analysis pipeline (Figure S5, Methods S1) was</w:t>
      </w:r>
    </w:p>
    <w:p w14:paraId="3E7F928A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developed in Python (http://www.python.org) to </w:t>
      </w:r>
      <w:proofErr w:type="spellStart"/>
      <w:r>
        <w:rPr>
          <w:rFonts w:ascii="AdvPSUnv" w:hAnsi="AdvPSUnv" w:cs="AdvPSUnv"/>
          <w:sz w:val="16"/>
          <w:szCs w:val="16"/>
        </w:rPr>
        <w:t>analyse</w:t>
      </w:r>
      <w:proofErr w:type="spellEnd"/>
      <w:r>
        <w:rPr>
          <w:rFonts w:ascii="AdvPSUnv" w:hAnsi="AdvPSUnv" w:cs="AdvPSUnv"/>
          <w:sz w:val="16"/>
          <w:szCs w:val="16"/>
        </w:rPr>
        <w:t xml:space="preserve"> microarray-</w:t>
      </w:r>
    </w:p>
    <w:p w14:paraId="3F258A1B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based gene expression profiles for 19 281 reporters in the</w:t>
      </w:r>
    </w:p>
    <w:p w14:paraId="1E2FFCB6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maize leaf samples across 100 RILs of the CML444 </w:t>
      </w:r>
      <w:r>
        <w:rPr>
          <w:rFonts w:ascii="AdvTir_symb" w:hAnsi="AdvTir_symb" w:cs="AdvTir_symb"/>
          <w:sz w:val="16"/>
          <w:szCs w:val="16"/>
        </w:rPr>
        <w:t xml:space="preserve">9 </w:t>
      </w:r>
      <w:r>
        <w:rPr>
          <w:rFonts w:ascii="AdvPSUnv" w:hAnsi="AdvPSUnv" w:cs="AdvPSUnv"/>
          <w:sz w:val="16"/>
          <w:szCs w:val="16"/>
        </w:rPr>
        <w:t>SC Malawi</w:t>
      </w:r>
    </w:p>
    <w:p w14:paraId="31FE8FDC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population. It was implemented in the online data analysis platform</w:t>
      </w:r>
    </w:p>
    <w:p w14:paraId="0DE1B82D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Galaxy (http://galaxyproject.org) (</w:t>
      </w:r>
      <w:proofErr w:type="spellStart"/>
      <w:r>
        <w:rPr>
          <w:rFonts w:ascii="AdvPSUnv" w:hAnsi="AdvPSUnv" w:cs="AdvPSUnv"/>
          <w:sz w:val="16"/>
          <w:szCs w:val="16"/>
        </w:rPr>
        <w:t>Giardine</w:t>
      </w:r>
      <w:proofErr w:type="spellEnd"/>
      <w:r>
        <w:rPr>
          <w:rFonts w:ascii="AdvPSUnv" w:hAnsi="AdvPSUnv" w:cs="AdvPSUnv"/>
          <w:sz w:val="16"/>
          <w:szCs w:val="16"/>
        </w:rPr>
        <w:t xml:space="preserve"> </w:t>
      </w:r>
      <w:r>
        <w:rPr>
          <w:rFonts w:ascii="AdvPSUnv-O" w:hAnsi="AdvPSUnv-O" w:cs="AdvPSUnv-O"/>
          <w:sz w:val="16"/>
          <w:szCs w:val="16"/>
        </w:rPr>
        <w:t>et al.</w:t>
      </w:r>
      <w:r>
        <w:rPr>
          <w:rFonts w:ascii="AdvPSUnv" w:hAnsi="AdvPSUnv" w:cs="AdvPSUnv"/>
          <w:sz w:val="16"/>
          <w:szCs w:val="16"/>
        </w:rPr>
        <w:t>, 2005),</w:t>
      </w:r>
    </w:p>
    <w:p w14:paraId="2763543E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which provides a user-friendly web-based interface for </w:t>
      </w:r>
      <w:proofErr w:type="spellStart"/>
      <w:r>
        <w:rPr>
          <w:rFonts w:ascii="AdvPSUnv" w:hAnsi="AdvPSUnv" w:cs="AdvPSUnv"/>
          <w:sz w:val="16"/>
          <w:szCs w:val="16"/>
        </w:rPr>
        <w:t>commandline</w:t>
      </w:r>
      <w:proofErr w:type="spellEnd"/>
    </w:p>
    <w:p w14:paraId="28A3835A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tools. The pipeline, available as three consecutive workflows</w:t>
      </w:r>
    </w:p>
    <w:p w14:paraId="23F2C959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via the Toolshed (http://toolshed.g2.bx.psu.edu), does the following:</w:t>
      </w:r>
    </w:p>
    <w:p w14:paraId="342310E8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(</w:t>
      </w:r>
      <w:proofErr w:type="spellStart"/>
      <w:r>
        <w:rPr>
          <w:rFonts w:ascii="AdvPSUnv" w:hAnsi="AdvPSUnv" w:cs="AdvPSUnv"/>
          <w:sz w:val="16"/>
          <w:szCs w:val="16"/>
        </w:rPr>
        <w:t>i</w:t>
      </w:r>
      <w:proofErr w:type="spellEnd"/>
      <w:r>
        <w:rPr>
          <w:rFonts w:ascii="AdvPSUnv" w:hAnsi="AdvPSUnv" w:cs="AdvPSUnv"/>
          <w:sz w:val="16"/>
          <w:szCs w:val="16"/>
        </w:rPr>
        <w:t>) determines the likelihood ratio (LR) threshold that corrects</w:t>
      </w:r>
    </w:p>
    <w:p w14:paraId="404C6940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lastRenderedPageBreak/>
        <w:t>for genome-wide markers using permutation tests (Churchill and</w:t>
      </w:r>
    </w:p>
    <w:p w14:paraId="4E6E9557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proofErr w:type="spellStart"/>
      <w:r>
        <w:rPr>
          <w:rFonts w:ascii="AdvPSUnv" w:hAnsi="AdvPSUnv" w:cs="AdvPSUnv"/>
          <w:sz w:val="16"/>
          <w:szCs w:val="16"/>
        </w:rPr>
        <w:t>Doerge</w:t>
      </w:r>
      <w:proofErr w:type="spellEnd"/>
      <w:r>
        <w:rPr>
          <w:rFonts w:ascii="AdvPSUnv" w:hAnsi="AdvPSUnv" w:cs="AdvPSUnv"/>
          <w:sz w:val="16"/>
          <w:szCs w:val="16"/>
        </w:rPr>
        <w:t xml:space="preserve">, 1994) via QTL Cartographer’s </w:t>
      </w:r>
      <w:proofErr w:type="spellStart"/>
      <w:r>
        <w:rPr>
          <w:rFonts w:ascii="AdvPSUnv" w:hAnsi="AdvPSUnv" w:cs="AdvPSUnv"/>
          <w:sz w:val="16"/>
          <w:szCs w:val="16"/>
        </w:rPr>
        <w:t>Zmapqtl</w:t>
      </w:r>
      <w:proofErr w:type="spellEnd"/>
      <w:r>
        <w:rPr>
          <w:rFonts w:ascii="AdvPSUnv" w:hAnsi="AdvPSUnv" w:cs="AdvPSUnv"/>
          <w:sz w:val="16"/>
          <w:szCs w:val="16"/>
        </w:rPr>
        <w:t xml:space="preserve"> module (</w:t>
      </w:r>
      <w:proofErr w:type="spellStart"/>
      <w:r>
        <w:rPr>
          <w:rFonts w:ascii="AdvPSUnv" w:hAnsi="AdvPSUnv" w:cs="AdvPSUnv"/>
          <w:sz w:val="16"/>
          <w:szCs w:val="16"/>
        </w:rPr>
        <w:t>Basten</w:t>
      </w:r>
      <w:proofErr w:type="spellEnd"/>
    </w:p>
    <w:p w14:paraId="03640353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-O" w:hAnsi="AdvPSUnv-O" w:cs="AdvPSUnv-O"/>
          <w:sz w:val="16"/>
          <w:szCs w:val="16"/>
        </w:rPr>
        <w:t>et al.</w:t>
      </w:r>
      <w:r>
        <w:rPr>
          <w:rFonts w:ascii="AdvPSUnv" w:hAnsi="AdvPSUnv" w:cs="AdvPSUnv"/>
          <w:sz w:val="16"/>
          <w:szCs w:val="16"/>
        </w:rPr>
        <w:t>, 1994) and multiple e-traits (in this study, the 95th percentiles</w:t>
      </w:r>
    </w:p>
    <w:p w14:paraId="2EE03D07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for 105 randomly chosen e-traits were determined by 1000 permutations</w:t>
      </w:r>
    </w:p>
    <w:p w14:paraId="6B920005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each, and the average LR of the 95th percentiles </w:t>
      </w:r>
      <w:proofErr w:type="gramStart"/>
      <w:r>
        <w:rPr>
          <w:rFonts w:ascii="AdvPSUnv" w:hAnsi="AdvPSUnv" w:cs="AdvPSUnv"/>
          <w:sz w:val="16"/>
          <w:szCs w:val="16"/>
        </w:rPr>
        <w:t>was</w:t>
      </w:r>
      <w:proofErr w:type="gramEnd"/>
      <w:r>
        <w:rPr>
          <w:rFonts w:ascii="AdvPSUnv" w:hAnsi="AdvPSUnv" w:cs="AdvPSUnv"/>
          <w:sz w:val="16"/>
          <w:szCs w:val="16"/>
        </w:rPr>
        <w:t xml:space="preserve"> taken</w:t>
      </w:r>
    </w:p>
    <w:p w14:paraId="5B17AEC9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as the ‘estimated experiment-wise threshold’ (conversion</w:t>
      </w:r>
    </w:p>
    <w:p w14:paraId="36992F4F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LOD </w:t>
      </w:r>
      <w:r>
        <w:rPr>
          <w:rFonts w:ascii="AdvTTec369687" w:hAnsi="AdvTTec369687" w:cs="AdvTTec369687"/>
          <w:sz w:val="16"/>
          <w:szCs w:val="16"/>
        </w:rPr>
        <w:t xml:space="preserve">= </w:t>
      </w:r>
      <w:r>
        <w:rPr>
          <w:rFonts w:ascii="AdvPSUnv" w:hAnsi="AdvPSUnv" w:cs="AdvPSUnv"/>
          <w:sz w:val="16"/>
          <w:szCs w:val="16"/>
        </w:rPr>
        <w:t xml:space="preserve">0.217 </w:t>
      </w:r>
      <w:r>
        <w:rPr>
          <w:rFonts w:ascii="AdvTir_symb" w:hAnsi="AdvTir_symb" w:cs="AdvTir_symb"/>
          <w:sz w:val="16"/>
          <w:szCs w:val="16"/>
        </w:rPr>
        <w:t xml:space="preserve">9 </w:t>
      </w:r>
      <w:r>
        <w:rPr>
          <w:rFonts w:ascii="AdvPSUnv" w:hAnsi="AdvPSUnv" w:cs="AdvPSUnv"/>
          <w:sz w:val="16"/>
          <w:szCs w:val="16"/>
        </w:rPr>
        <w:t xml:space="preserve">LR) (Table S16); (ii) maps </w:t>
      </w:r>
      <w:proofErr w:type="spellStart"/>
      <w:r>
        <w:rPr>
          <w:rFonts w:ascii="AdvPSUnv" w:hAnsi="AdvPSUnv" w:cs="AdvPSUnv"/>
          <w:sz w:val="16"/>
          <w:szCs w:val="16"/>
        </w:rPr>
        <w:t>eQTLs</w:t>
      </w:r>
      <w:proofErr w:type="spellEnd"/>
      <w:r>
        <w:rPr>
          <w:rFonts w:ascii="AdvPSUnv" w:hAnsi="AdvPSUnv" w:cs="AdvPSUnv"/>
          <w:sz w:val="16"/>
          <w:szCs w:val="16"/>
        </w:rPr>
        <w:t>, using QTL Cartographer</w:t>
      </w:r>
    </w:p>
    <w:p w14:paraId="2DB8BED2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(</w:t>
      </w:r>
      <w:proofErr w:type="spellStart"/>
      <w:r>
        <w:rPr>
          <w:rFonts w:ascii="AdvPSUnv" w:hAnsi="AdvPSUnv" w:cs="AdvPSUnv"/>
          <w:sz w:val="16"/>
          <w:szCs w:val="16"/>
        </w:rPr>
        <w:t>Basten</w:t>
      </w:r>
      <w:proofErr w:type="spellEnd"/>
      <w:r>
        <w:rPr>
          <w:rFonts w:ascii="AdvPSUnv" w:hAnsi="AdvPSUnv" w:cs="AdvPSUnv"/>
          <w:sz w:val="16"/>
          <w:szCs w:val="16"/>
        </w:rPr>
        <w:t xml:space="preserve"> </w:t>
      </w:r>
      <w:r>
        <w:rPr>
          <w:rFonts w:ascii="AdvPSUnv-O" w:hAnsi="AdvPSUnv-O" w:cs="AdvPSUnv-O"/>
          <w:sz w:val="16"/>
          <w:szCs w:val="16"/>
        </w:rPr>
        <w:t>et al.</w:t>
      </w:r>
      <w:r>
        <w:rPr>
          <w:rFonts w:ascii="AdvPSUnv" w:hAnsi="AdvPSUnv" w:cs="AdvPSUnv"/>
          <w:sz w:val="16"/>
          <w:szCs w:val="16"/>
        </w:rPr>
        <w:t>, 1994) [with the following parameters:</w:t>
      </w:r>
    </w:p>
    <w:p w14:paraId="237D3EF4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walking speed of 2 </w:t>
      </w:r>
      <w:proofErr w:type="spellStart"/>
      <w:r>
        <w:rPr>
          <w:rFonts w:ascii="AdvPSUnv" w:hAnsi="AdvPSUnv" w:cs="AdvPSUnv"/>
          <w:sz w:val="16"/>
          <w:szCs w:val="16"/>
        </w:rPr>
        <w:t>cM</w:t>
      </w:r>
      <w:proofErr w:type="spellEnd"/>
      <w:r>
        <w:rPr>
          <w:rFonts w:ascii="AdvPSUnv" w:hAnsi="AdvPSUnv" w:cs="AdvPSUnv"/>
          <w:sz w:val="16"/>
          <w:szCs w:val="16"/>
        </w:rPr>
        <w:t>; composite interval mapping; forward</w:t>
      </w:r>
    </w:p>
    <w:p w14:paraId="16E4E71E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regression and backward elimination (</w:t>
      </w:r>
      <w:r>
        <w:rPr>
          <w:rFonts w:ascii="AdvPSUnv-O" w:hAnsi="AdvPSUnv-O" w:cs="AdvPSUnv-O"/>
          <w:sz w:val="16"/>
          <w:szCs w:val="16"/>
        </w:rPr>
        <w:t>P</w:t>
      </w:r>
      <w:r>
        <w:rPr>
          <w:rFonts w:ascii="AdvPSUnv" w:hAnsi="AdvPSUnv" w:cs="AdvPSUnv"/>
          <w:sz w:val="16"/>
          <w:szCs w:val="16"/>
        </w:rPr>
        <w:t xml:space="preserve">-value </w:t>
      </w:r>
      <w:r>
        <w:rPr>
          <w:rFonts w:ascii="AdvTTec369687" w:hAnsi="AdvTTec369687" w:cs="AdvTTec369687"/>
          <w:sz w:val="16"/>
          <w:szCs w:val="16"/>
        </w:rPr>
        <w:t xml:space="preserve">= </w:t>
      </w:r>
      <w:r>
        <w:rPr>
          <w:rFonts w:ascii="AdvPSUnv" w:hAnsi="AdvPSUnv" w:cs="AdvPSUnv"/>
          <w:sz w:val="16"/>
          <w:szCs w:val="16"/>
        </w:rPr>
        <w:t>0.1); estimated</w:t>
      </w:r>
    </w:p>
    <w:p w14:paraId="66832085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experiment-wise LOD threshold </w:t>
      </w:r>
      <w:r>
        <w:rPr>
          <w:rFonts w:ascii="AdvTTec369687" w:hAnsi="AdvTTec369687" w:cs="AdvTTec369687"/>
          <w:sz w:val="16"/>
          <w:szCs w:val="16"/>
        </w:rPr>
        <w:t xml:space="preserve">= </w:t>
      </w:r>
      <w:r>
        <w:rPr>
          <w:rFonts w:ascii="AdvPSUnv" w:hAnsi="AdvPSUnv" w:cs="AdvPSUnv"/>
          <w:sz w:val="16"/>
          <w:szCs w:val="16"/>
        </w:rPr>
        <w:t>2.8], as independent parallel</w:t>
      </w:r>
    </w:p>
    <w:p w14:paraId="4F83781D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tasks using different nodes on a compute cluster; and (iii) classifies</w:t>
      </w:r>
    </w:p>
    <w:p w14:paraId="01A3DCA9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proofErr w:type="spellStart"/>
      <w:r>
        <w:rPr>
          <w:rFonts w:ascii="AdvPSUnv" w:hAnsi="AdvPSUnv" w:cs="AdvPSUnv"/>
          <w:sz w:val="16"/>
          <w:szCs w:val="16"/>
        </w:rPr>
        <w:t>eQTLs</w:t>
      </w:r>
      <w:proofErr w:type="spellEnd"/>
      <w:r>
        <w:rPr>
          <w:rFonts w:ascii="AdvPSUnv" w:hAnsi="AdvPSUnv" w:cs="AdvPSUnv"/>
          <w:sz w:val="16"/>
          <w:szCs w:val="16"/>
        </w:rPr>
        <w:t xml:space="preserve"> as </w:t>
      </w:r>
      <w:r>
        <w:rPr>
          <w:rFonts w:ascii="AdvPSUnv-O" w:hAnsi="AdvPSUnv-O" w:cs="AdvPSUnv-O"/>
          <w:sz w:val="16"/>
          <w:szCs w:val="16"/>
        </w:rPr>
        <w:t xml:space="preserve">cis </w:t>
      </w:r>
      <w:r>
        <w:rPr>
          <w:rFonts w:ascii="AdvPSUnv" w:hAnsi="AdvPSUnv" w:cs="AdvPSUnv"/>
          <w:sz w:val="16"/>
          <w:szCs w:val="16"/>
        </w:rPr>
        <w:t xml:space="preserve">or </w:t>
      </w:r>
      <w:r>
        <w:rPr>
          <w:rFonts w:ascii="AdvPSUnv-O" w:hAnsi="AdvPSUnv-O" w:cs="AdvPSUnv-O"/>
          <w:sz w:val="16"/>
          <w:szCs w:val="16"/>
        </w:rPr>
        <w:t xml:space="preserve">trans </w:t>
      </w:r>
      <w:r>
        <w:rPr>
          <w:rFonts w:ascii="AdvPSUnv" w:hAnsi="AdvPSUnv" w:cs="AdvPSUnv"/>
          <w:sz w:val="16"/>
          <w:szCs w:val="16"/>
        </w:rPr>
        <w:t xml:space="preserve">(in this study </w:t>
      </w:r>
      <w:proofErr w:type="spellStart"/>
      <w:r>
        <w:rPr>
          <w:rFonts w:ascii="AdvPSUnv" w:hAnsi="AdvPSUnv" w:cs="AdvPSUnv"/>
          <w:sz w:val="16"/>
          <w:szCs w:val="16"/>
        </w:rPr>
        <w:t>eQTLs</w:t>
      </w:r>
      <w:proofErr w:type="spellEnd"/>
      <w:r>
        <w:rPr>
          <w:rFonts w:ascii="AdvPSUnv" w:hAnsi="AdvPSUnv" w:cs="AdvPSUnv"/>
          <w:sz w:val="16"/>
          <w:szCs w:val="16"/>
        </w:rPr>
        <w:t xml:space="preserve"> closer than 6.25 </w:t>
      </w:r>
      <w:proofErr w:type="spellStart"/>
      <w:r>
        <w:rPr>
          <w:rFonts w:ascii="AdvPSUnv" w:hAnsi="AdvPSUnv" w:cs="AdvPSUnv"/>
          <w:sz w:val="16"/>
          <w:szCs w:val="16"/>
        </w:rPr>
        <w:t>cM</w:t>
      </w:r>
      <w:proofErr w:type="spellEnd"/>
    </w:p>
    <w:p w14:paraId="0654F6FF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TTec369687+20" w:hAnsi="AdvTTec369687+20" w:cs="AdvTTec369687+20"/>
          <w:sz w:val="16"/>
          <w:szCs w:val="16"/>
        </w:rPr>
        <w:t xml:space="preserve">– </w:t>
      </w:r>
      <w:r>
        <w:rPr>
          <w:rFonts w:ascii="AdvPSUnv" w:hAnsi="AdvPSUnv" w:cs="AdvPSUnv"/>
          <w:sz w:val="16"/>
          <w:szCs w:val="16"/>
        </w:rPr>
        <w:t xml:space="preserve">half the average size of an </w:t>
      </w:r>
      <w:proofErr w:type="spellStart"/>
      <w:r>
        <w:rPr>
          <w:rFonts w:ascii="AdvPSUnv" w:hAnsi="AdvPSUnv" w:cs="AdvPSUnv"/>
          <w:sz w:val="16"/>
          <w:szCs w:val="16"/>
        </w:rPr>
        <w:t>eQTL</w:t>
      </w:r>
      <w:proofErr w:type="spellEnd"/>
      <w:r>
        <w:rPr>
          <w:rFonts w:ascii="AdvPSUnv" w:hAnsi="AdvPSUnv" w:cs="AdvPSUnv"/>
          <w:sz w:val="16"/>
          <w:szCs w:val="16"/>
        </w:rPr>
        <w:t xml:space="preserve"> </w:t>
      </w:r>
      <w:r>
        <w:rPr>
          <w:rFonts w:ascii="AdvTTec369687+20" w:hAnsi="AdvTTec369687+20" w:cs="AdvTTec369687+20"/>
          <w:sz w:val="16"/>
          <w:szCs w:val="16"/>
        </w:rPr>
        <w:t xml:space="preserve">– </w:t>
      </w:r>
      <w:r>
        <w:rPr>
          <w:rFonts w:ascii="AdvPSUnv" w:hAnsi="AdvPSUnv" w:cs="AdvPSUnv"/>
          <w:sz w:val="16"/>
          <w:szCs w:val="16"/>
        </w:rPr>
        <w:t>to their linked gene were</w:t>
      </w:r>
    </w:p>
    <w:p w14:paraId="04943F93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called </w:t>
      </w:r>
      <w:r>
        <w:rPr>
          <w:rFonts w:ascii="AdvPSUnv-O" w:hAnsi="AdvPSUnv-O" w:cs="AdvPSUnv-O"/>
          <w:sz w:val="16"/>
          <w:szCs w:val="16"/>
        </w:rPr>
        <w:t>cis</w:t>
      </w:r>
      <w:r>
        <w:rPr>
          <w:rFonts w:ascii="AdvPSUnv" w:hAnsi="AdvPSUnv" w:cs="AdvPSUnv"/>
          <w:sz w:val="16"/>
          <w:szCs w:val="16"/>
        </w:rPr>
        <w:t>-</w:t>
      </w:r>
      <w:proofErr w:type="spellStart"/>
      <w:r>
        <w:rPr>
          <w:rFonts w:ascii="AdvPSUnv" w:hAnsi="AdvPSUnv" w:cs="AdvPSUnv"/>
          <w:sz w:val="16"/>
          <w:szCs w:val="16"/>
        </w:rPr>
        <w:t>eQTLs</w:t>
      </w:r>
      <w:proofErr w:type="spellEnd"/>
      <w:r>
        <w:rPr>
          <w:rFonts w:ascii="AdvPSUnv" w:hAnsi="AdvPSUnv" w:cs="AdvPSUnv"/>
          <w:sz w:val="16"/>
          <w:szCs w:val="16"/>
        </w:rPr>
        <w:t xml:space="preserve">) </w:t>
      </w:r>
      <w:proofErr w:type="gramStart"/>
      <w:r>
        <w:rPr>
          <w:rFonts w:ascii="AdvPSUnv" w:hAnsi="AdvPSUnv" w:cs="AdvPSUnv"/>
          <w:sz w:val="16"/>
          <w:szCs w:val="16"/>
        </w:rPr>
        <w:t>in order to</w:t>
      </w:r>
      <w:proofErr w:type="gramEnd"/>
      <w:r>
        <w:rPr>
          <w:rFonts w:ascii="AdvPSUnv" w:hAnsi="AdvPSUnv" w:cs="AdvPSUnv"/>
          <w:sz w:val="16"/>
          <w:szCs w:val="16"/>
        </w:rPr>
        <w:t xml:space="preserve"> identify significant </w:t>
      </w:r>
      <w:r>
        <w:rPr>
          <w:rFonts w:ascii="AdvPSUnv-O" w:hAnsi="AdvPSUnv-O" w:cs="AdvPSUnv-O"/>
          <w:sz w:val="16"/>
          <w:szCs w:val="16"/>
        </w:rPr>
        <w:t>trans</w:t>
      </w:r>
      <w:r>
        <w:rPr>
          <w:rFonts w:ascii="AdvPSUnv" w:hAnsi="AdvPSUnv" w:cs="AdvPSUnv"/>
          <w:sz w:val="16"/>
          <w:szCs w:val="16"/>
        </w:rPr>
        <w:t>-</w:t>
      </w:r>
      <w:proofErr w:type="spellStart"/>
      <w:r>
        <w:rPr>
          <w:rFonts w:ascii="AdvPSUnv" w:hAnsi="AdvPSUnv" w:cs="AdvPSUnv"/>
          <w:sz w:val="16"/>
          <w:szCs w:val="16"/>
        </w:rPr>
        <w:t>eQTL</w:t>
      </w:r>
      <w:proofErr w:type="spellEnd"/>
      <w:r>
        <w:rPr>
          <w:rFonts w:ascii="AdvPSUnv" w:hAnsi="AdvPSUnv" w:cs="AdvPSUnv"/>
          <w:sz w:val="16"/>
          <w:szCs w:val="16"/>
        </w:rPr>
        <w:t xml:space="preserve"> hotspots</w:t>
      </w:r>
    </w:p>
    <w:p w14:paraId="4657AC72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(by first calculating the genome-wide frequency of </w:t>
      </w:r>
      <w:proofErr w:type="spellStart"/>
      <w:r>
        <w:rPr>
          <w:rFonts w:ascii="AdvPSUnv" w:hAnsi="AdvPSUnv" w:cs="AdvPSUnv"/>
          <w:sz w:val="16"/>
          <w:szCs w:val="16"/>
        </w:rPr>
        <w:t>eQTLs</w:t>
      </w:r>
      <w:proofErr w:type="spellEnd"/>
    </w:p>
    <w:p w14:paraId="2C7F7B44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and then normalizing for local gene density). R (R Core Team,</w:t>
      </w:r>
    </w:p>
    <w:p w14:paraId="31A8ACA8" w14:textId="77777777" w:rsidR="00D2024B" w:rsidRDefault="00D2024B" w:rsidP="00D2024B">
      <w:pPr>
        <w:autoSpaceDE w:val="0"/>
        <w:autoSpaceDN w:val="0"/>
        <w:adjustRightInd w:val="0"/>
        <w:spacing w:after="0" w:line="240" w:lineRule="auto"/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 xml:space="preserve">2014) was employed for statistical analysis and data </w:t>
      </w:r>
      <w:proofErr w:type="spellStart"/>
      <w:r>
        <w:rPr>
          <w:rFonts w:ascii="AdvPSUnv" w:hAnsi="AdvPSUnv" w:cs="AdvPSUnv"/>
          <w:sz w:val="16"/>
          <w:szCs w:val="16"/>
        </w:rPr>
        <w:t>visualisation</w:t>
      </w:r>
      <w:proofErr w:type="spellEnd"/>
    </w:p>
    <w:p w14:paraId="677D81D5" w14:textId="3BF0A805" w:rsidR="00D2024B" w:rsidRDefault="00D2024B" w:rsidP="00D2024B">
      <w:pPr>
        <w:rPr>
          <w:rFonts w:ascii="AdvPSUnv" w:hAnsi="AdvPSUnv" w:cs="AdvPSUnv"/>
          <w:sz w:val="16"/>
          <w:szCs w:val="16"/>
        </w:rPr>
      </w:pPr>
      <w:r>
        <w:rPr>
          <w:rFonts w:ascii="AdvPSUnv" w:hAnsi="AdvPSUnv" w:cs="AdvPSUnv"/>
          <w:sz w:val="16"/>
          <w:szCs w:val="16"/>
        </w:rPr>
        <w:t>(mainly in workflow iii).</w:t>
      </w:r>
    </w:p>
    <w:p w14:paraId="0C2387DD" w14:textId="09D8C1E7" w:rsidR="0010622A" w:rsidRDefault="000444B3" w:rsidP="00D2024B">
      <w:r>
        <w:t xml:space="preserve">Zhang 2011: </w:t>
      </w:r>
      <w:r w:rsidRPr="000444B3">
        <w:t>Integrating pathway analysis and genetics of gene expression for genome-wide association study of basal cell carcinoma</w:t>
      </w:r>
    </w:p>
    <w:p w14:paraId="50868083" w14:textId="5B95FE32" w:rsidR="000444B3" w:rsidRDefault="000444B3" w:rsidP="00D2024B">
      <w:pP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We estimated non-genetic contributions in gene expression measures using principal component analysis (Leek and 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Storey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</w:t>
      </w:r>
      <w:hyperlink r:id="rId12" w:anchor="CR31" w:tooltip="View reference" w:history="1">
        <w:r>
          <w:rPr>
            <w:rStyle w:val="Hyperlink"/>
            <w:rFonts w:ascii="Helvetica" w:hAnsi="Helvetica"/>
            <w:color w:val="8E2555"/>
            <w:spacing w:val="2"/>
            <w:sz w:val="26"/>
            <w:szCs w:val="26"/>
          </w:rPr>
          <w:t>2007</w:t>
        </w:r>
      </w:hyperlink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; 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Stegle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et al. </w:t>
      </w:r>
      <w:hyperlink r:id="rId13" w:anchor="CR48" w:tooltip="View reference" w:history="1">
        <w:r>
          <w:rPr>
            <w:rStyle w:val="Hyperlink"/>
            <w:rFonts w:ascii="Helvetica" w:hAnsi="Helvetica"/>
            <w:color w:val="8E2555"/>
            <w:spacing w:val="2"/>
            <w:sz w:val="26"/>
            <w:szCs w:val="26"/>
          </w:rPr>
          <w:t>2008</w:t>
        </w:r>
      </w:hyperlink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). Top principal components were included in the 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eQTL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regression model as covariates. The number of principal components used was chosen to maximize the number of genome-wide significant </w:t>
      </w:r>
      <w:r>
        <w:rPr>
          <w:rStyle w:val="Emphasis"/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cis</w:t>
      </w:r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eQTLs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. Association analysis was applied with the FASTASSOC option implemented in MERLIN (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Abecasis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 et al. </w:t>
      </w:r>
      <w:hyperlink r:id="rId14" w:anchor="CR1" w:tooltip="View reference" w:history="1">
        <w:r>
          <w:rPr>
            <w:rStyle w:val="Hyperlink"/>
            <w:rFonts w:ascii="Helvetica" w:hAnsi="Helvetica"/>
            <w:color w:val="8E2555"/>
            <w:spacing w:val="2"/>
            <w:sz w:val="26"/>
            <w:szCs w:val="26"/>
          </w:rPr>
          <w:t>2002</w:t>
        </w:r>
      </w:hyperlink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 xml:space="preserve">; Chen and </w:t>
      </w:r>
      <w:proofErr w:type="spellStart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Abecasis</w:t>
      </w:r>
      <w:proofErr w:type="spellEnd"/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 </w:t>
      </w:r>
      <w:hyperlink r:id="rId15" w:anchor="CR11" w:tooltip="View reference" w:history="1">
        <w:r>
          <w:rPr>
            <w:rStyle w:val="Hyperlink"/>
            <w:rFonts w:ascii="Helvetica" w:hAnsi="Helvetica"/>
            <w:color w:val="8E2555"/>
            <w:spacing w:val="2"/>
            <w:sz w:val="26"/>
            <w:szCs w:val="26"/>
          </w:rPr>
          <w:t>2007</w:t>
        </w:r>
      </w:hyperlink>
      <w:r>
        <w:rPr>
          <w:rFonts w:ascii="Georgia" w:hAnsi="Georgia"/>
          <w:color w:val="333333"/>
          <w:spacing w:val="2"/>
          <w:sz w:val="26"/>
          <w:szCs w:val="26"/>
          <w:shd w:val="clear" w:color="auto" w:fill="FCFCFC"/>
        </w:rPr>
        <w:t>).</w:t>
      </w:r>
    </w:p>
    <w:p w14:paraId="6444803F" w14:textId="77777777" w:rsidR="009F19F1" w:rsidRDefault="009F19F1" w:rsidP="00D2024B"/>
    <w:p w14:paraId="2445BE60" w14:textId="1EB84E26" w:rsidR="004E4956" w:rsidRDefault="009F19F1" w:rsidP="00D2024B">
      <w:r>
        <w:t>Puig-</w:t>
      </w:r>
      <w:proofErr w:type="spellStart"/>
      <w:r>
        <w:t>Oliveras</w:t>
      </w:r>
      <w:proofErr w:type="spellEnd"/>
      <w:r>
        <w:t xml:space="preserve"> 2016 </w:t>
      </w:r>
      <w:r w:rsidRPr="009F19F1">
        <w:t xml:space="preserve">Expression-based GWAS identifies variants, gene interactions and key regulators affecting intramuscular fatty acid content and composition in porcine meat </w:t>
      </w:r>
      <w:hyperlink r:id="rId16" w:history="1">
        <w:r w:rsidR="002841B9" w:rsidRPr="00D279F5">
          <w:rPr>
            <w:rStyle w:val="Hyperlink"/>
          </w:rPr>
          <w:t>https://www.nature.com/articles/srep31803#methods</w:t>
        </w:r>
      </w:hyperlink>
      <w:r>
        <w:t xml:space="preserve"> </w:t>
      </w:r>
    </w:p>
    <w:p w14:paraId="6BD21620" w14:textId="77777777" w:rsidR="004E4956" w:rsidRDefault="004E4956" w:rsidP="004E4956">
      <w:pPr>
        <w:pStyle w:val="Heading3"/>
        <w:shd w:val="clear" w:color="auto" w:fill="FFFFFF"/>
        <w:spacing w:before="0" w:beforeAutospacing="0" w:after="60" w:afterAutospacing="0"/>
        <w:rPr>
          <w:rFonts w:ascii="Times" w:hAnsi="Times" w:cs="Times"/>
          <w:color w:val="222222"/>
          <w:spacing w:val="3"/>
        </w:rPr>
      </w:pPr>
      <w:r>
        <w:rPr>
          <w:rFonts w:ascii="Times" w:hAnsi="Times" w:cs="Times"/>
          <w:color w:val="222222"/>
          <w:spacing w:val="3"/>
        </w:rPr>
        <w:t>Gene-expression association analysis</w:t>
      </w:r>
    </w:p>
    <w:p w14:paraId="75A7C82D" w14:textId="77777777" w:rsidR="004E4956" w:rsidRDefault="004E4956" w:rsidP="004E4956">
      <w:pPr>
        <w:pStyle w:val="NormalWeb"/>
        <w:shd w:val="clear" w:color="auto" w:fill="FFFFFF"/>
        <w:spacing w:before="0" w:beforeAutospacing="0" w:after="420" w:afterAutospacing="0"/>
        <w:rPr>
          <w:rFonts w:ascii="Times" w:hAnsi="Times" w:cs="Times"/>
          <w:color w:val="222222"/>
          <w:spacing w:val="3"/>
          <w:sz w:val="26"/>
          <w:szCs w:val="26"/>
        </w:rPr>
      </w:pPr>
      <w:r>
        <w:rPr>
          <w:rFonts w:ascii="Times" w:hAnsi="Times" w:cs="Times"/>
          <w:color w:val="222222"/>
          <w:spacing w:val="3"/>
          <w:sz w:val="26"/>
          <w:szCs w:val="26"/>
        </w:rPr>
        <w:t xml:space="preserve">An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eGWAS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 was also performed using the genotypes of BC1_LD animals and the expression values from muscle. A mixed model was employed implemented on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Qxpak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 5.0</w:t>
      </w:r>
      <w:hyperlink r:id="rId17" w:anchor="ref59" w:tooltip="Pérez-Enciso, M. &amp; Misztal, I. Qxpak.5: Old mixed model solutions for new genomics problems. BMC Bioinformatics 12, 202 (2011)." w:history="1">
        <w:r>
          <w:rPr>
            <w:rStyle w:val="Hyperlink"/>
            <w:rFonts w:ascii="Times" w:hAnsi="Times" w:cs="Times"/>
            <w:color w:val="006699"/>
            <w:spacing w:val="3"/>
            <w:sz w:val="19"/>
            <w:szCs w:val="19"/>
          </w:rPr>
          <w:t>59</w:t>
        </w:r>
      </w:hyperlink>
      <w:r>
        <w:rPr>
          <w:rFonts w:ascii="Times" w:hAnsi="Times" w:cs="Times"/>
          <w:color w:val="222222"/>
          <w:spacing w:val="3"/>
          <w:sz w:val="26"/>
          <w:szCs w:val="26"/>
        </w:rPr>
        <w:t>:</w:t>
      </w:r>
    </w:p>
    <w:p w14:paraId="40B76C3F" w14:textId="7D8B6D1A" w:rsidR="004E4956" w:rsidRDefault="004E4956" w:rsidP="004E49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19760A" wp14:editId="2097E07A">
            <wp:extent cx="2927350" cy="247650"/>
            <wp:effectExtent l="0" t="0" r="6350" b="0"/>
            <wp:docPr id="1" name="Picture 1" descr="https://media.nature.com/full/nature-assets/srep/2016/160818/srep31803/images/srep31803-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nature.com/full/nature-assets/srep/2016/160818/srep31803/images/srep31803-m1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7724" w14:textId="77777777" w:rsidR="004E4956" w:rsidRDefault="004E4956" w:rsidP="004E4956">
      <w:pPr>
        <w:pStyle w:val="NormalWeb"/>
        <w:shd w:val="clear" w:color="auto" w:fill="FFFFFF"/>
        <w:spacing w:before="0" w:beforeAutospacing="0" w:after="420" w:afterAutospacing="0"/>
        <w:rPr>
          <w:rFonts w:ascii="Times" w:hAnsi="Times" w:cs="Times"/>
          <w:color w:val="222222"/>
          <w:spacing w:val="3"/>
          <w:sz w:val="26"/>
          <w:szCs w:val="26"/>
        </w:rPr>
      </w:pPr>
      <w:r>
        <w:rPr>
          <w:rFonts w:ascii="Times" w:hAnsi="Times" w:cs="Times"/>
          <w:color w:val="222222"/>
          <w:spacing w:val="3"/>
          <w:sz w:val="26"/>
          <w:szCs w:val="26"/>
        </w:rPr>
        <w:t xml:space="preserve">in which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y</w:t>
      </w:r>
      <w:r>
        <w:rPr>
          <w:rFonts w:ascii="Times" w:hAnsi="Times" w:cs="Times"/>
          <w:color w:val="222222"/>
          <w:spacing w:val="3"/>
          <w:sz w:val="19"/>
          <w:szCs w:val="19"/>
          <w:vertAlign w:val="subscript"/>
        </w:rPr>
        <w:t>ijkl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> was the k</w:t>
      </w:r>
      <w:r>
        <w:rPr>
          <w:rFonts w:ascii="Times" w:hAnsi="Times" w:cs="Times"/>
          <w:color w:val="222222"/>
          <w:spacing w:val="3"/>
          <w:sz w:val="19"/>
          <w:szCs w:val="19"/>
          <w:vertAlign w:val="superscript"/>
        </w:rPr>
        <w:t>th</w:t>
      </w:r>
      <w:r>
        <w:rPr>
          <w:rFonts w:ascii="Times" w:hAnsi="Times" w:cs="Times"/>
          <w:color w:val="222222"/>
          <w:spacing w:val="3"/>
          <w:sz w:val="26"/>
          <w:szCs w:val="26"/>
        </w:rPr>
        <w:t xml:space="preserve"> individual record, sex (two levels) and batch (five levels) were fixed effects,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λ</w:t>
      </w:r>
      <w:r>
        <w:rPr>
          <w:rFonts w:ascii="Times" w:hAnsi="Times" w:cs="Times"/>
          <w:color w:val="222222"/>
          <w:spacing w:val="3"/>
          <w:sz w:val="19"/>
          <w:szCs w:val="19"/>
          <w:vertAlign w:val="subscript"/>
        </w:rPr>
        <w:t>k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> was a −1, 0, +1 indicator variable depending on the k</w:t>
      </w:r>
      <w:r>
        <w:rPr>
          <w:rFonts w:ascii="Times" w:hAnsi="Times" w:cs="Times"/>
          <w:color w:val="222222"/>
          <w:spacing w:val="3"/>
          <w:sz w:val="19"/>
          <w:szCs w:val="19"/>
          <w:vertAlign w:val="superscript"/>
        </w:rPr>
        <w:t>th</w:t>
      </w:r>
      <w:r>
        <w:rPr>
          <w:rFonts w:ascii="Times" w:hAnsi="Times" w:cs="Times"/>
          <w:color w:val="222222"/>
          <w:spacing w:val="3"/>
          <w:sz w:val="26"/>
          <w:szCs w:val="26"/>
        </w:rPr>
        <w:t> individual genotype for the l</w:t>
      </w:r>
      <w:r>
        <w:rPr>
          <w:rFonts w:ascii="Times" w:hAnsi="Times" w:cs="Times"/>
          <w:color w:val="222222"/>
          <w:spacing w:val="3"/>
          <w:sz w:val="19"/>
          <w:szCs w:val="19"/>
          <w:vertAlign w:val="superscript"/>
        </w:rPr>
        <w:t>th</w:t>
      </w:r>
      <w:r>
        <w:rPr>
          <w:rFonts w:ascii="Times" w:hAnsi="Times" w:cs="Times"/>
          <w:color w:val="222222"/>
          <w:spacing w:val="3"/>
          <w:sz w:val="26"/>
          <w:szCs w:val="26"/>
        </w:rPr>
        <w:t> SNP, a</w:t>
      </w:r>
      <w:r>
        <w:rPr>
          <w:rFonts w:ascii="Times" w:hAnsi="Times" w:cs="Times"/>
          <w:color w:val="222222"/>
          <w:spacing w:val="3"/>
          <w:sz w:val="19"/>
          <w:szCs w:val="19"/>
          <w:vertAlign w:val="subscript"/>
        </w:rPr>
        <w:t>l</w:t>
      </w:r>
      <w:r>
        <w:rPr>
          <w:rFonts w:ascii="Times" w:hAnsi="Times" w:cs="Times"/>
          <w:color w:val="222222"/>
          <w:spacing w:val="3"/>
          <w:sz w:val="26"/>
          <w:szCs w:val="26"/>
        </w:rPr>
        <w:t> represents the additive effect associated with the l</w:t>
      </w:r>
      <w:r>
        <w:rPr>
          <w:rFonts w:ascii="Times" w:hAnsi="Times" w:cs="Times"/>
          <w:color w:val="222222"/>
          <w:spacing w:val="3"/>
          <w:sz w:val="19"/>
          <w:szCs w:val="19"/>
          <w:vertAlign w:val="superscript"/>
        </w:rPr>
        <w:t>th</w:t>
      </w:r>
      <w:r>
        <w:rPr>
          <w:rFonts w:ascii="Times" w:hAnsi="Times" w:cs="Times"/>
          <w:color w:val="222222"/>
          <w:spacing w:val="3"/>
          <w:sz w:val="26"/>
          <w:szCs w:val="26"/>
        </w:rPr>
        <w:t xml:space="preserve"> SNP,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u</w:t>
      </w:r>
      <w:r>
        <w:rPr>
          <w:rFonts w:ascii="Times" w:hAnsi="Times" w:cs="Times"/>
          <w:color w:val="222222"/>
          <w:spacing w:val="3"/>
          <w:sz w:val="19"/>
          <w:szCs w:val="19"/>
          <w:vertAlign w:val="subscript"/>
        </w:rPr>
        <w:t>k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 is the infinitesimal genetic effect treated as random and distributed as </w:t>
      </w:r>
      <w:proofErr w:type="gramStart"/>
      <w:r>
        <w:rPr>
          <w:rFonts w:ascii="Times" w:hAnsi="Times" w:cs="Times"/>
          <w:color w:val="222222"/>
          <w:spacing w:val="3"/>
          <w:sz w:val="26"/>
          <w:szCs w:val="26"/>
        </w:rPr>
        <w:t>N(</w:t>
      </w:r>
      <w:proofErr w:type="gramEnd"/>
      <w:r>
        <w:rPr>
          <w:rFonts w:ascii="Times" w:hAnsi="Times" w:cs="Times"/>
          <w:b/>
          <w:bCs/>
          <w:color w:val="222222"/>
          <w:spacing w:val="3"/>
          <w:sz w:val="26"/>
          <w:szCs w:val="26"/>
        </w:rPr>
        <w:t>0</w:t>
      </w:r>
      <w:r>
        <w:rPr>
          <w:rFonts w:ascii="Times" w:hAnsi="Times" w:cs="Times"/>
          <w:color w:val="222222"/>
          <w:spacing w:val="3"/>
          <w:sz w:val="26"/>
          <w:szCs w:val="26"/>
        </w:rPr>
        <w:t>, </w:t>
      </w:r>
      <w:r>
        <w:rPr>
          <w:rFonts w:ascii="Times" w:hAnsi="Times" w:cs="Times"/>
          <w:b/>
          <w:bCs/>
          <w:color w:val="222222"/>
          <w:spacing w:val="3"/>
          <w:sz w:val="26"/>
          <w:szCs w:val="26"/>
        </w:rPr>
        <w:t>A</w:t>
      </w:r>
      <w:r>
        <w:rPr>
          <w:rFonts w:ascii="Times" w:hAnsi="Times" w:cs="Times"/>
          <w:color w:val="222222"/>
          <w:spacing w:val="3"/>
          <w:sz w:val="26"/>
          <w:szCs w:val="26"/>
        </w:rPr>
        <w:t>σ</w:t>
      </w:r>
      <w:r>
        <w:rPr>
          <w:rFonts w:ascii="Times" w:hAnsi="Times" w:cs="Times"/>
          <w:color w:val="222222"/>
          <w:spacing w:val="3"/>
          <w:sz w:val="19"/>
          <w:szCs w:val="19"/>
          <w:vertAlign w:val="subscript"/>
        </w:rPr>
        <w:t>u</w:t>
      </w:r>
      <w:r>
        <w:rPr>
          <w:rFonts w:ascii="Times" w:hAnsi="Times" w:cs="Times"/>
          <w:color w:val="222222"/>
          <w:spacing w:val="3"/>
          <w:sz w:val="19"/>
          <w:szCs w:val="19"/>
          <w:vertAlign w:val="superscript"/>
        </w:rPr>
        <w:t>2</w:t>
      </w:r>
      <w:r>
        <w:rPr>
          <w:rFonts w:ascii="Times" w:hAnsi="Times" w:cs="Times"/>
          <w:color w:val="222222"/>
          <w:spacing w:val="3"/>
          <w:sz w:val="26"/>
          <w:szCs w:val="26"/>
        </w:rPr>
        <w:t>), where </w:t>
      </w:r>
      <w:proofErr w:type="spellStart"/>
      <w:r>
        <w:rPr>
          <w:rFonts w:ascii="Times" w:hAnsi="Times" w:cs="Times"/>
          <w:b/>
          <w:bCs/>
          <w:color w:val="222222"/>
          <w:spacing w:val="3"/>
          <w:sz w:val="26"/>
          <w:szCs w:val="26"/>
        </w:rPr>
        <w:t>A</w:t>
      </w:r>
      <w:r>
        <w:rPr>
          <w:rFonts w:ascii="Times" w:hAnsi="Times" w:cs="Times"/>
          <w:color w:val="222222"/>
          <w:spacing w:val="3"/>
          <w:sz w:val="26"/>
          <w:szCs w:val="26"/>
        </w:rPr>
        <w:t>is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 the numerator of the pedigree-based relationship matrix and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e</w:t>
      </w:r>
      <w:r>
        <w:rPr>
          <w:rFonts w:ascii="Times" w:hAnsi="Times" w:cs="Times"/>
          <w:color w:val="222222"/>
          <w:spacing w:val="3"/>
          <w:sz w:val="19"/>
          <w:szCs w:val="19"/>
          <w:vertAlign w:val="subscript"/>
        </w:rPr>
        <w:t>ijkl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> the residual.</w:t>
      </w:r>
    </w:p>
    <w:p w14:paraId="0DA77A25" w14:textId="77777777" w:rsidR="004E4956" w:rsidRDefault="004E4956" w:rsidP="004E4956">
      <w:pPr>
        <w:pStyle w:val="NormalWeb"/>
        <w:shd w:val="clear" w:color="auto" w:fill="FFFFFF"/>
        <w:spacing w:before="0" w:beforeAutospacing="0" w:after="420" w:afterAutospacing="0"/>
        <w:rPr>
          <w:rFonts w:ascii="Times" w:hAnsi="Times" w:cs="Times"/>
          <w:color w:val="222222"/>
          <w:spacing w:val="3"/>
          <w:sz w:val="26"/>
          <w:szCs w:val="26"/>
        </w:rPr>
      </w:pPr>
      <w:r>
        <w:rPr>
          <w:rFonts w:ascii="Times" w:hAnsi="Times" w:cs="Times"/>
          <w:color w:val="222222"/>
          <w:spacing w:val="3"/>
          <w:sz w:val="26"/>
          <w:szCs w:val="26"/>
        </w:rPr>
        <w:lastRenderedPageBreak/>
        <w:t>The same mixed model was applied to perform the association analyses with the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</w:rPr>
        <w:t>ACSM5</w:t>
      </w:r>
      <w:r>
        <w:rPr>
          <w:rFonts w:ascii="Times" w:hAnsi="Times" w:cs="Times"/>
          <w:color w:val="222222"/>
          <w:spacing w:val="3"/>
          <w:sz w:val="26"/>
          <w:szCs w:val="26"/>
        </w:rPr>
        <w:t> (rs331702081) and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</w:rPr>
        <w:t>IGF2</w:t>
      </w:r>
      <w:r>
        <w:rPr>
          <w:rFonts w:ascii="Times" w:hAnsi="Times" w:cs="Times"/>
          <w:color w:val="222222"/>
          <w:spacing w:val="3"/>
          <w:sz w:val="26"/>
          <w:szCs w:val="26"/>
        </w:rPr>
        <w:t> (IGF2-intron3-G3072A) polymorphisms and the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</w:rPr>
        <w:t>ACSM5</w:t>
      </w:r>
      <w:r>
        <w:rPr>
          <w:rFonts w:ascii="Times" w:hAnsi="Times" w:cs="Times"/>
          <w:color w:val="222222"/>
          <w:spacing w:val="3"/>
          <w:sz w:val="26"/>
          <w:szCs w:val="26"/>
        </w:rPr>
        <w:t> and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</w:rPr>
        <w:t>IGF2</w:t>
      </w:r>
      <w:r>
        <w:rPr>
          <w:rFonts w:ascii="Times" w:hAnsi="Times" w:cs="Times"/>
          <w:color w:val="222222"/>
          <w:spacing w:val="3"/>
          <w:sz w:val="26"/>
          <w:szCs w:val="26"/>
        </w:rPr>
        <w:t> mRNA expressions, respectively.</w:t>
      </w:r>
    </w:p>
    <w:p w14:paraId="6D059DA7" w14:textId="77777777" w:rsidR="004E4956" w:rsidRDefault="004E4956" w:rsidP="004E4956">
      <w:pPr>
        <w:pStyle w:val="NormalWeb"/>
        <w:shd w:val="clear" w:color="auto" w:fill="FFFFFF"/>
        <w:spacing w:before="0" w:beforeAutospacing="0" w:after="420" w:afterAutospacing="0"/>
        <w:rPr>
          <w:rFonts w:ascii="Times" w:hAnsi="Times" w:cs="Times"/>
          <w:color w:val="222222"/>
          <w:spacing w:val="3"/>
          <w:sz w:val="26"/>
          <w:szCs w:val="26"/>
        </w:rPr>
      </w:pPr>
      <w:r>
        <w:rPr>
          <w:rFonts w:ascii="Times" w:hAnsi="Times" w:cs="Times"/>
          <w:color w:val="222222"/>
          <w:spacing w:val="3"/>
          <w:sz w:val="26"/>
          <w:szCs w:val="26"/>
        </w:rPr>
        <w:t>To correct for multiple testing, the false discovery rate (FDR) was calculated with the q-value library of the R package setting the threshold at q-value</w:t>
      </w:r>
      <w:r>
        <w:rPr>
          <w:color w:val="222222"/>
          <w:spacing w:val="3"/>
          <w:sz w:val="26"/>
          <w:szCs w:val="26"/>
        </w:rPr>
        <w:t> </w:t>
      </w:r>
      <w:r>
        <w:rPr>
          <w:rFonts w:ascii="Sylfaen" w:hAnsi="Sylfaen" w:cs="Sylfaen"/>
          <w:color w:val="222222"/>
          <w:spacing w:val="3"/>
          <w:sz w:val="26"/>
          <w:szCs w:val="26"/>
        </w:rPr>
        <w:t>≤</w:t>
      </w:r>
      <w:r>
        <w:rPr>
          <w:color w:val="222222"/>
          <w:spacing w:val="3"/>
          <w:sz w:val="26"/>
          <w:szCs w:val="26"/>
        </w:rPr>
        <w:t> </w:t>
      </w:r>
      <w:r>
        <w:rPr>
          <w:rFonts w:ascii="Times" w:hAnsi="Times" w:cs="Times"/>
          <w:color w:val="222222"/>
          <w:spacing w:val="3"/>
          <w:sz w:val="26"/>
          <w:szCs w:val="26"/>
        </w:rPr>
        <w:t>0.05</w:t>
      </w:r>
      <w:hyperlink r:id="rId19" w:anchor="ref58" w:tooltip="Ihaka, R. &amp; Gentleman, R. R: A language for data analysis and graphics. J. Comp. Graph. Stat. 5, 299–314 (1996)." w:history="1">
        <w:r>
          <w:rPr>
            <w:rStyle w:val="Hyperlink"/>
            <w:rFonts w:ascii="Times" w:hAnsi="Times" w:cs="Times"/>
            <w:color w:val="006699"/>
            <w:spacing w:val="3"/>
            <w:sz w:val="19"/>
            <w:szCs w:val="19"/>
          </w:rPr>
          <w:t>58</w:t>
        </w:r>
      </w:hyperlink>
      <w:r>
        <w:rPr>
          <w:rFonts w:ascii="Times" w:hAnsi="Times" w:cs="Times"/>
          <w:color w:val="222222"/>
          <w:spacing w:val="3"/>
          <w:sz w:val="19"/>
          <w:szCs w:val="19"/>
          <w:vertAlign w:val="superscript"/>
        </w:rPr>
        <w:t>,</w:t>
      </w:r>
      <w:hyperlink r:id="rId20" w:anchor="ref60" w:tooltip="Storey, J. D. &amp; Tibshirani, R. Statistical significance for genomewide studies. PNAS 100, 9440–9445 (2003)." w:history="1">
        <w:r>
          <w:rPr>
            <w:rStyle w:val="Hyperlink"/>
            <w:rFonts w:ascii="Times" w:hAnsi="Times" w:cs="Times"/>
            <w:color w:val="006699"/>
            <w:spacing w:val="3"/>
            <w:sz w:val="19"/>
            <w:szCs w:val="19"/>
          </w:rPr>
          <w:t>60</w:t>
        </w:r>
      </w:hyperlink>
      <w:r>
        <w:rPr>
          <w:rFonts w:ascii="Times" w:hAnsi="Times" w:cs="Times"/>
          <w:color w:val="222222"/>
          <w:spacing w:val="3"/>
          <w:sz w:val="26"/>
          <w:szCs w:val="26"/>
        </w:rPr>
        <w:t>. Given that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</w:rPr>
        <w:t>cis</w:t>
      </w:r>
      <w:r>
        <w:rPr>
          <w:rFonts w:ascii="Times" w:hAnsi="Times" w:cs="Times"/>
          <w:color w:val="222222"/>
          <w:spacing w:val="3"/>
          <w:sz w:val="26"/>
          <w:szCs w:val="26"/>
        </w:rPr>
        <w:t xml:space="preserve">-acting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eQTLs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 tend to have larger magnitudes of effect on gene expression than do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</w:rPr>
        <w:t>trans</w:t>
      </w:r>
      <w:r>
        <w:rPr>
          <w:rFonts w:ascii="Times" w:hAnsi="Times" w:cs="Times"/>
          <w:color w:val="222222"/>
          <w:spacing w:val="3"/>
          <w:sz w:val="26"/>
          <w:szCs w:val="26"/>
        </w:rPr>
        <w:t>-acting eQTLs</w:t>
      </w:r>
      <w:hyperlink r:id="rId21" w:anchor="ref61" w:tooltip="Schadt, E. E. et al. An integrative genomics approach to infer causal associations between gene expression and disease. Nat. Genet. 37, 710–717 (2005)." w:history="1">
        <w:r>
          <w:rPr>
            <w:rStyle w:val="Hyperlink"/>
            <w:rFonts w:ascii="Times" w:hAnsi="Times" w:cs="Times"/>
            <w:color w:val="006699"/>
            <w:spacing w:val="3"/>
            <w:sz w:val="19"/>
            <w:szCs w:val="19"/>
          </w:rPr>
          <w:t>61</w:t>
        </w:r>
      </w:hyperlink>
      <w:r>
        <w:rPr>
          <w:rFonts w:ascii="Times" w:hAnsi="Times" w:cs="Times"/>
          <w:color w:val="222222"/>
          <w:spacing w:val="3"/>
          <w:sz w:val="26"/>
          <w:szCs w:val="26"/>
        </w:rPr>
        <w:t>, and several SNPs are affected by strong LD, a more restrictive threshold to avoid false positives was applied at p-value</w:t>
      </w:r>
      <w:r>
        <w:rPr>
          <w:color w:val="222222"/>
          <w:spacing w:val="3"/>
          <w:sz w:val="26"/>
          <w:szCs w:val="26"/>
        </w:rPr>
        <w:t> </w:t>
      </w:r>
      <w:r>
        <w:rPr>
          <w:rFonts w:ascii="Sylfaen" w:hAnsi="Sylfaen" w:cs="Sylfaen"/>
          <w:color w:val="222222"/>
          <w:spacing w:val="3"/>
          <w:sz w:val="26"/>
          <w:szCs w:val="26"/>
        </w:rPr>
        <w:t>≤</w:t>
      </w:r>
      <w:r>
        <w:rPr>
          <w:color w:val="222222"/>
          <w:spacing w:val="3"/>
          <w:sz w:val="26"/>
          <w:szCs w:val="26"/>
        </w:rPr>
        <w:t> </w:t>
      </w:r>
      <w:r>
        <w:rPr>
          <w:rFonts w:ascii="Times" w:hAnsi="Times" w:cs="Times"/>
          <w:color w:val="222222"/>
          <w:spacing w:val="3"/>
          <w:sz w:val="26"/>
          <w:szCs w:val="26"/>
        </w:rPr>
        <w:t xml:space="preserve">0.001 for those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eGWAS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 showing a</w:t>
      </w:r>
      <w:r>
        <w:rPr>
          <w:rFonts w:ascii="Sylfaen" w:hAnsi="Sylfaen" w:cs="Sylfaen"/>
          <w:color w:val="222222"/>
          <w:spacing w:val="3"/>
          <w:sz w:val="26"/>
          <w:szCs w:val="26"/>
        </w:rPr>
        <w:t>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</w:rPr>
        <w:t>cis</w:t>
      </w:r>
      <w:r>
        <w:rPr>
          <w:rFonts w:ascii="Times" w:hAnsi="Times" w:cs="Times"/>
          <w:color w:val="222222"/>
          <w:spacing w:val="3"/>
          <w:sz w:val="26"/>
          <w:szCs w:val="26"/>
        </w:rPr>
        <w:t>-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eQTL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 (see Q-Q plot in </w:t>
      </w:r>
      <w:hyperlink r:id="rId22" w:anchor="s1" w:history="1">
        <w:r>
          <w:rPr>
            <w:rStyle w:val="Hyperlink"/>
            <w:rFonts w:ascii="Times" w:hAnsi="Times" w:cs="Times"/>
            <w:color w:val="006699"/>
            <w:spacing w:val="3"/>
            <w:sz w:val="26"/>
            <w:szCs w:val="26"/>
          </w:rPr>
          <w:t>Supplementary Fig. S4</w:t>
        </w:r>
      </w:hyperlink>
      <w:r>
        <w:rPr>
          <w:rFonts w:ascii="Times" w:hAnsi="Times" w:cs="Times"/>
          <w:color w:val="222222"/>
          <w:spacing w:val="3"/>
          <w:sz w:val="26"/>
          <w:szCs w:val="26"/>
        </w:rPr>
        <w:t>).</w:t>
      </w:r>
    </w:p>
    <w:p w14:paraId="0B7E0310" w14:textId="77777777" w:rsidR="004E4956" w:rsidRDefault="004E4956" w:rsidP="004E4956">
      <w:pPr>
        <w:pStyle w:val="NormalWeb"/>
        <w:shd w:val="clear" w:color="auto" w:fill="FFFFFF"/>
        <w:spacing w:before="0" w:beforeAutospacing="0" w:after="420" w:afterAutospacing="0"/>
        <w:rPr>
          <w:rFonts w:ascii="Times" w:hAnsi="Times" w:cs="Times"/>
          <w:color w:val="222222"/>
          <w:spacing w:val="3"/>
          <w:sz w:val="26"/>
          <w:szCs w:val="26"/>
        </w:rPr>
      </w:pPr>
      <w:r>
        <w:rPr>
          <w:rFonts w:ascii="Times" w:hAnsi="Times" w:cs="Times"/>
          <w:color w:val="222222"/>
          <w:spacing w:val="3"/>
          <w:sz w:val="26"/>
          <w:szCs w:val="26"/>
        </w:rPr>
        <w:t>The SNPs identified were classified as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</w:rPr>
        <w:t>cis</w:t>
      </w:r>
      <w:r>
        <w:rPr>
          <w:rFonts w:ascii="Times" w:hAnsi="Times" w:cs="Times"/>
          <w:color w:val="222222"/>
          <w:spacing w:val="3"/>
          <w:sz w:val="26"/>
          <w:szCs w:val="26"/>
        </w:rPr>
        <w:t> when they were located within 1</w:t>
      </w:r>
      <w:r>
        <w:rPr>
          <w:color w:val="222222"/>
          <w:spacing w:val="3"/>
          <w:sz w:val="26"/>
          <w:szCs w:val="26"/>
        </w:rPr>
        <w:t> </w:t>
      </w:r>
      <w:r>
        <w:rPr>
          <w:rFonts w:ascii="Times" w:hAnsi="Times" w:cs="Times"/>
          <w:color w:val="222222"/>
          <w:spacing w:val="3"/>
          <w:sz w:val="26"/>
          <w:szCs w:val="26"/>
        </w:rPr>
        <w:t xml:space="preserve">Mb from the gene </w:t>
      </w:r>
      <w:proofErr w:type="spellStart"/>
      <w:r>
        <w:rPr>
          <w:rFonts w:ascii="Times" w:hAnsi="Times" w:cs="Times"/>
          <w:color w:val="222222"/>
          <w:spacing w:val="3"/>
          <w:sz w:val="26"/>
          <w:szCs w:val="26"/>
        </w:rPr>
        <w:t>analysed</w:t>
      </w:r>
      <w:proofErr w:type="spellEnd"/>
      <w:r>
        <w:rPr>
          <w:rFonts w:ascii="Times" w:hAnsi="Times" w:cs="Times"/>
          <w:color w:val="222222"/>
          <w:spacing w:val="3"/>
          <w:sz w:val="26"/>
          <w:szCs w:val="26"/>
        </w:rPr>
        <w:t xml:space="preserve"> and as</w:t>
      </w:r>
      <w:r>
        <w:rPr>
          <w:rFonts w:ascii="Sylfaen" w:hAnsi="Sylfaen" w:cs="Sylfaen"/>
          <w:color w:val="222222"/>
          <w:spacing w:val="3"/>
          <w:sz w:val="26"/>
          <w:szCs w:val="26"/>
        </w:rPr>
        <w:t> </w:t>
      </w:r>
      <w:r>
        <w:rPr>
          <w:rFonts w:ascii="Times" w:hAnsi="Times" w:cs="Times"/>
          <w:i/>
          <w:iCs/>
          <w:color w:val="222222"/>
          <w:spacing w:val="3"/>
          <w:sz w:val="26"/>
          <w:szCs w:val="26"/>
        </w:rPr>
        <w:t>trans</w:t>
      </w:r>
      <w:r>
        <w:rPr>
          <w:rFonts w:ascii="Times" w:hAnsi="Times" w:cs="Times"/>
          <w:color w:val="222222"/>
          <w:spacing w:val="3"/>
          <w:sz w:val="26"/>
          <w:szCs w:val="26"/>
        </w:rPr>
        <w:t> when they were located elsewhere in the genome. The number of significant SNPs belonging to the same interval was considered among associated SNPs less than 10</w:t>
      </w:r>
      <w:r>
        <w:rPr>
          <w:color w:val="222222"/>
          <w:spacing w:val="3"/>
          <w:sz w:val="26"/>
          <w:szCs w:val="26"/>
        </w:rPr>
        <w:t> </w:t>
      </w:r>
      <w:r>
        <w:rPr>
          <w:rFonts w:ascii="Times" w:hAnsi="Times" w:cs="Times"/>
          <w:color w:val="222222"/>
          <w:spacing w:val="3"/>
          <w:sz w:val="26"/>
          <w:szCs w:val="26"/>
        </w:rPr>
        <w:t>Mb apart.</w:t>
      </w:r>
    </w:p>
    <w:p w14:paraId="34B6096D" w14:textId="1F9AC7A5" w:rsidR="004E4956" w:rsidRDefault="004E4956" w:rsidP="00D2024B"/>
    <w:p w14:paraId="0FE9D57E" w14:textId="04ABE1D3" w:rsidR="002841B9" w:rsidRDefault="002841B9" w:rsidP="00D2024B">
      <w:proofErr w:type="gramStart"/>
      <w:r>
        <w:t>QTLs  were</w:t>
      </w:r>
      <w:proofErr w:type="gramEnd"/>
      <w:r>
        <w:t xml:space="preserve">  mapped  using  a  linear  model  implemented  in  Matrix  eQTL71,  and   FDR  was   estimated   by   permutations   as   follows: </w:t>
      </w:r>
      <w:r>
        <w:t xml:space="preserve">… </w:t>
      </w:r>
      <w:r>
        <w:t xml:space="preserve">For   transcript   ratio   </w:t>
      </w:r>
      <w:proofErr w:type="gramStart"/>
      <w:r>
        <w:t xml:space="preserve">QTLs,   </w:t>
      </w:r>
      <w:proofErr w:type="gramEnd"/>
      <w:r>
        <w:t>we   permuted   ratios   of   all   transcripts   of   randomly  selected  1000  genes  3000  times  and  calculated  a  genome-</w:t>
      </w:r>
      <w:r>
        <w:softHyphen/>
        <w:t>‐wide  p-</w:t>
      </w:r>
      <w:r>
        <w:softHyphen/>
        <w:t>‐value   limit  based  on  the  median  of  the  most  stringent  transcript  per  gene.  </w:t>
      </w:r>
      <w:proofErr w:type="gramStart"/>
      <w:r>
        <w:t>For  gene</w:t>
      </w:r>
      <w:proofErr w:type="gramEnd"/>
      <w:r>
        <w:t xml:space="preserve">  and   repeat  </w:t>
      </w:r>
      <w:proofErr w:type="spellStart"/>
      <w:r>
        <w:t>eQTLs</w:t>
      </w:r>
      <w:proofErr w:type="spellEnd"/>
      <w:r>
        <w:t>,  we  permuted  randomly  selected  1000  genes  and  500  repeats,  and   used  their  median  as  a  genome-</w:t>
      </w:r>
      <w:r>
        <w:softHyphen/>
        <w:t>‐wide  p-</w:t>
      </w:r>
      <w:r>
        <w:softHyphen/>
        <w:t>‐value  limit</w:t>
      </w:r>
      <w:bookmarkStart w:id="0" w:name="_GoBack"/>
      <w:bookmarkEnd w:id="0"/>
    </w:p>
    <w:sectPr w:rsidR="0028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SUn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ir_sym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Unv-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ec36968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ec369687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4B"/>
    <w:rsid w:val="000444B3"/>
    <w:rsid w:val="0010622A"/>
    <w:rsid w:val="002841B9"/>
    <w:rsid w:val="002B7FF2"/>
    <w:rsid w:val="00323ADF"/>
    <w:rsid w:val="003D378C"/>
    <w:rsid w:val="004E4956"/>
    <w:rsid w:val="00966E6E"/>
    <w:rsid w:val="009F19F1"/>
    <w:rsid w:val="00D2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0D3E"/>
  <w15:chartTrackingRefBased/>
  <w15:docId w15:val="{39C461DA-7D1E-446A-A75A-843F712D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2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2A"/>
    <w:rPr>
      <w:color w:val="808080"/>
      <w:shd w:val="clear" w:color="auto" w:fill="E6E6E6"/>
    </w:rPr>
  </w:style>
  <w:style w:type="character" w:customStyle="1" w:styleId="citationref">
    <w:name w:val="citationref"/>
    <w:basedOn w:val="DefaultParagraphFont"/>
    <w:rsid w:val="000444B3"/>
  </w:style>
  <w:style w:type="character" w:styleId="Emphasis">
    <w:name w:val="Emphasis"/>
    <w:basedOn w:val="DefaultParagraphFont"/>
    <w:uiPriority w:val="20"/>
    <w:qFormat/>
    <w:rsid w:val="000444B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E49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4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g.2205" TargetMode="External"/><Relationship Id="rId13" Type="http://schemas.openxmlformats.org/officeDocument/2006/relationships/hyperlink" Target="https://link.springer.com/article/10.1007/s00439-011-1107-5" TargetMode="External"/><Relationship Id="rId18" Type="http://schemas.openxmlformats.org/officeDocument/2006/relationships/image" Target="media/image1.gif"/><Relationship Id="rId3" Type="http://schemas.openxmlformats.org/officeDocument/2006/relationships/webSettings" Target="webSettings.xml"/><Relationship Id="rId21" Type="http://schemas.openxmlformats.org/officeDocument/2006/relationships/hyperlink" Target="https://www.nature.com/articles/srep31803" TargetMode="External"/><Relationship Id="rId7" Type="http://schemas.openxmlformats.org/officeDocument/2006/relationships/hyperlink" Target="https://www.nature.com/articles/ng.2205" TargetMode="External"/><Relationship Id="rId12" Type="http://schemas.openxmlformats.org/officeDocument/2006/relationships/hyperlink" Target="https://link.springer.com/article/10.1007/s00439-011-1107-5" TargetMode="External"/><Relationship Id="rId17" Type="http://schemas.openxmlformats.org/officeDocument/2006/relationships/hyperlink" Target="https://www.nature.com/articles/srep3180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ature.com/articles/srep31803#methods" TargetMode="External"/><Relationship Id="rId20" Type="http://schemas.openxmlformats.org/officeDocument/2006/relationships/hyperlink" Target="https://www.nature.com/articles/srep3180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ng.2205" TargetMode="External"/><Relationship Id="rId11" Type="http://schemas.openxmlformats.org/officeDocument/2006/relationships/hyperlink" Target="https://www.nature.com/articles/ng.220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ature.com/articles/ng.2205" TargetMode="External"/><Relationship Id="rId15" Type="http://schemas.openxmlformats.org/officeDocument/2006/relationships/hyperlink" Target="https://link.springer.com/article/10.1007/s00439-011-1107-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ature.com/articles/ng.2205" TargetMode="External"/><Relationship Id="rId19" Type="http://schemas.openxmlformats.org/officeDocument/2006/relationships/hyperlink" Target="https://www.nature.com/articles/srep31803" TargetMode="External"/><Relationship Id="rId4" Type="http://schemas.openxmlformats.org/officeDocument/2006/relationships/hyperlink" Target="http://www.bios.unc.edu/research/genomic_software/Matrix_eQTL/" TargetMode="External"/><Relationship Id="rId9" Type="http://schemas.openxmlformats.org/officeDocument/2006/relationships/hyperlink" Target="https://www.nature.com/articles/ng.2205" TargetMode="External"/><Relationship Id="rId14" Type="http://schemas.openxmlformats.org/officeDocument/2006/relationships/hyperlink" Target="https://link.springer.com/article/10.1007/s00439-011-1107-5" TargetMode="External"/><Relationship Id="rId22" Type="http://schemas.openxmlformats.org/officeDocument/2006/relationships/hyperlink" Target="https://www.nature.com/articles/srep31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3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5</cp:revision>
  <dcterms:created xsi:type="dcterms:W3CDTF">2018-05-22T17:26:00Z</dcterms:created>
  <dcterms:modified xsi:type="dcterms:W3CDTF">2018-05-24T21:19:00Z</dcterms:modified>
</cp:coreProperties>
</file>