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E66B" w14:textId="6489EB4D" w:rsidR="0015236A" w:rsidRDefault="0015236A" w:rsidP="0015236A">
      <w:pPr>
        <w:pStyle w:val="ListParagraph"/>
        <w:numPr>
          <w:ilvl w:val="0"/>
          <w:numId w:val="1"/>
        </w:numPr>
      </w:pPr>
      <w:r>
        <w:t>Introduction thoughts (from lab meeting)</w:t>
      </w:r>
    </w:p>
    <w:p w14:paraId="1A14DD1D" w14:textId="40EDB473" w:rsidR="0015236A" w:rsidRDefault="0015236A" w:rsidP="0015236A">
      <w:pPr>
        <w:pStyle w:val="ListParagraph"/>
        <w:numPr>
          <w:ilvl w:val="1"/>
          <w:numId w:val="1"/>
        </w:numPr>
      </w:pPr>
      <w:r>
        <w:t>Intraspecific variation within Botrytis cinerea alters both pathogen virulence and plant susceptibility</w:t>
      </w:r>
    </w:p>
    <w:p w14:paraId="7A308288" w14:textId="3AA87D7E" w:rsidR="0015236A" w:rsidRDefault="0015236A" w:rsidP="0015236A">
      <w:pPr>
        <w:pStyle w:val="ListParagraph"/>
        <w:numPr>
          <w:ilvl w:val="1"/>
          <w:numId w:val="1"/>
        </w:numPr>
      </w:pPr>
      <w:r>
        <w:t>Mechanism: B. cinerea genetic control of gene expression</w:t>
      </w:r>
    </w:p>
    <w:p w14:paraId="6CE32117" w14:textId="78651E01" w:rsidR="0015236A" w:rsidRDefault="0015236A" w:rsidP="0015236A">
      <w:pPr>
        <w:pStyle w:val="ListParagraph"/>
        <w:numPr>
          <w:ilvl w:val="2"/>
          <w:numId w:val="1"/>
        </w:numPr>
      </w:pPr>
      <w:r>
        <w:t>And B. cinerea genetic control of host gene expression</w:t>
      </w:r>
    </w:p>
    <w:p w14:paraId="5A3D006D" w14:textId="6F57F98D" w:rsidR="00777843" w:rsidRDefault="00777843" w:rsidP="00777843">
      <w:pPr>
        <w:pStyle w:val="ListParagraph"/>
        <w:numPr>
          <w:ilvl w:val="1"/>
          <w:numId w:val="1"/>
        </w:numPr>
      </w:pPr>
      <w:r>
        <w:t>Driving questions</w:t>
      </w:r>
    </w:p>
    <w:p w14:paraId="1FDC7C45" w14:textId="29339CF6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A. thaliana?</w:t>
      </w:r>
    </w:p>
    <w:p w14:paraId="3C194D41" w14:textId="4C889ED8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B. cinerea?</w:t>
      </w:r>
    </w:p>
    <w:p w14:paraId="1D0D7828" w14:textId="54B787AB" w:rsidR="00777843" w:rsidRDefault="00777843" w:rsidP="00777843">
      <w:pPr>
        <w:pStyle w:val="ListParagraph"/>
        <w:numPr>
          <w:ilvl w:val="2"/>
          <w:numId w:val="1"/>
        </w:numPr>
      </w:pPr>
      <w:r>
        <w:t>What genetic variation in B. cinerea determines gene expression in infected A. thaliana?</w:t>
      </w:r>
    </w:p>
    <w:p w14:paraId="565BF9F7" w14:textId="1E0554B4" w:rsidR="00777843" w:rsidRDefault="00777843" w:rsidP="00777843">
      <w:pPr>
        <w:pStyle w:val="ListParagraph"/>
        <w:numPr>
          <w:ilvl w:val="2"/>
          <w:numId w:val="1"/>
        </w:numPr>
      </w:pPr>
      <w:r>
        <w:t>What genes in A. thaliana are sensitive to natural variation in B. cinerea?</w:t>
      </w:r>
    </w:p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0EACAB0B" w14:textId="3DDF8291" w:rsidR="002351B7" w:rsidRDefault="002351B7" w:rsidP="00C20E79">
      <w:pPr>
        <w:pStyle w:val="ListParagraph"/>
        <w:numPr>
          <w:ilvl w:val="1"/>
          <w:numId w:val="1"/>
        </w:numPr>
      </w:pPr>
      <w:r>
        <w:t xml:space="preserve">Alternate approach for eQTL: R package </w:t>
      </w:r>
      <w:proofErr w:type="spellStart"/>
      <w:r>
        <w:t>matrixeqtl</w:t>
      </w:r>
      <w:proofErr w:type="spellEnd"/>
      <w:r>
        <w:t xml:space="preserve">? </w:t>
      </w:r>
    </w:p>
    <w:p w14:paraId="42A0C573" w14:textId="2317A073" w:rsidR="00B522C6" w:rsidRDefault="00B522C6" w:rsidP="00B522C6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7"/>
          <w:szCs w:val="27"/>
        </w:rPr>
        <w:t>install.packages</w:t>
      </w:r>
      <w:r>
        <w:rPr>
          <w:rFonts w:ascii="Courier New" w:hAnsi="Courier New" w:cs="Courier New"/>
          <w:color w:val="0000FF"/>
          <w:sz w:val="27"/>
          <w:szCs w:val="27"/>
        </w:rPr>
        <w:t>(</w:t>
      </w:r>
      <w:r>
        <w:rPr>
          <w:rFonts w:ascii="Courier New" w:hAnsi="Courier New" w:cs="Courier New"/>
          <w:color w:val="FF0000"/>
          <w:sz w:val="27"/>
          <w:szCs w:val="27"/>
        </w:rPr>
        <w:t>"MatrixEQTL"</w:t>
      </w:r>
      <w:r>
        <w:rPr>
          <w:rFonts w:ascii="Courier New" w:hAnsi="Courier New" w:cs="Courier New"/>
          <w:color w:val="0000FF"/>
          <w:sz w:val="27"/>
          <w:szCs w:val="27"/>
        </w:rPr>
        <w:t>)</w:t>
      </w:r>
      <w:bookmarkStart w:id="0" w:name="_GoBack"/>
      <w:bookmarkEnd w:id="0"/>
    </w:p>
    <w:p w14:paraId="1178CE2D" w14:textId="2ACCD24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41AC5AD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0C26AF5F" w14:textId="2D2E76F7" w:rsidR="00BB4FDC" w:rsidRDefault="00BB4FDC" w:rsidP="00C20E79">
      <w:pPr>
        <w:pStyle w:val="ListParagraph"/>
        <w:numPr>
          <w:ilvl w:val="1"/>
          <w:numId w:val="1"/>
        </w:numPr>
      </w:pPr>
      <w:r>
        <w:t xml:space="preserve">Test hotspots: are transcripts more tightly </w:t>
      </w:r>
      <w:proofErr w:type="spellStart"/>
      <w:r>
        <w:t>coexpressed</w:t>
      </w:r>
      <w:proofErr w:type="spellEnd"/>
      <w:r>
        <w:t xml:space="preserve"> within hotspots than between?</w:t>
      </w:r>
    </w:p>
    <w:p w14:paraId="2B11F9EA" w14:textId="64326419" w:rsidR="005B1D49" w:rsidRDefault="00BB4FDC" w:rsidP="005B1D49">
      <w:pPr>
        <w:pStyle w:val="ListParagraph"/>
        <w:numPr>
          <w:ilvl w:val="2"/>
          <w:numId w:val="1"/>
        </w:numPr>
      </w:pPr>
      <w:r>
        <w:t>For BOA: statistically AND biologically enriched</w:t>
      </w:r>
    </w:p>
    <w:p w14:paraId="7C37081E" w14:textId="46AB861D" w:rsidR="005B1D49" w:rsidRDefault="005B1D49" w:rsidP="005B1D49">
      <w:pPr>
        <w:pStyle w:val="ListParagraph"/>
        <w:numPr>
          <w:ilvl w:val="1"/>
          <w:numId w:val="1"/>
        </w:numPr>
      </w:pPr>
      <w:r>
        <w:t>Use top eQTL hotspots as factors in linear models of gene expression</w:t>
      </w:r>
    </w:p>
    <w:p w14:paraId="321F4113" w14:textId="77777777" w:rsidR="00C276E5" w:rsidRDefault="005B1D49" w:rsidP="00C276E5">
      <w:pPr>
        <w:pStyle w:val="ListParagraph"/>
        <w:numPr>
          <w:ilvl w:val="2"/>
          <w:numId w:val="1"/>
        </w:numPr>
      </w:pPr>
      <w:r>
        <w:t>For all genes with significant expression change due to focal eQTL, evidence of a shared regulatory gene network under eQTL (TF/ master regulator)?</w:t>
      </w:r>
    </w:p>
    <w:p w14:paraId="19C3C567" w14:textId="4D8D0BB3" w:rsidR="00C276E5" w:rsidRDefault="00C276E5" w:rsidP="00C276E5">
      <w:pPr>
        <w:pStyle w:val="ListParagraph"/>
        <w:numPr>
          <w:ilvl w:val="2"/>
          <w:numId w:val="1"/>
        </w:numPr>
      </w:pPr>
      <w:r>
        <w:t>How many expression profiles are correlated with each hotspot?</w:t>
      </w:r>
    </w:p>
    <w:p w14:paraId="3706A067" w14:textId="43BB232E" w:rsidR="00C276E5" w:rsidRDefault="00C276E5" w:rsidP="00C276E5">
      <w:pPr>
        <w:pStyle w:val="ListParagraph"/>
        <w:numPr>
          <w:ilvl w:val="2"/>
          <w:numId w:val="1"/>
        </w:numPr>
      </w:pPr>
      <w:r>
        <w:t>What is the magnitude of phenotypic effect of the eQTL hotspots?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4E138225" w14:textId="4838D9FC" w:rsidR="004469A7" w:rsidRDefault="004469A7" w:rsidP="004469A7">
      <w:pPr>
        <w:pStyle w:val="ListParagraph"/>
        <w:numPr>
          <w:ilvl w:val="1"/>
          <w:numId w:val="1"/>
        </w:numPr>
      </w:pPr>
      <w:r>
        <w:t>Check for gene IDs in BOA cluster: last 2, different pathway? Next 2, downstream modifications?</w:t>
      </w:r>
    </w:p>
    <w:p w14:paraId="480F7B61" w14:textId="1F15F59E" w:rsidR="00464B45" w:rsidRDefault="00464B45" w:rsidP="004469A7">
      <w:pPr>
        <w:pStyle w:val="ListParagraph"/>
        <w:numPr>
          <w:ilvl w:val="1"/>
          <w:numId w:val="1"/>
        </w:numPr>
      </w:pPr>
      <w:r>
        <w:t xml:space="preserve">Collapsing 11 organics into 1 </w:t>
      </w:r>
      <w:r w:rsidR="0089674E">
        <w:t>“average” individual</w:t>
      </w:r>
    </w:p>
    <w:p w14:paraId="287C829F" w14:textId="3F6FBA29" w:rsidR="0089674E" w:rsidRDefault="0089674E" w:rsidP="0089674E">
      <w:pPr>
        <w:pStyle w:val="ListParagraph"/>
        <w:numPr>
          <w:ilvl w:val="2"/>
          <w:numId w:val="1"/>
        </w:numPr>
      </w:pPr>
      <w:r>
        <w:t>Expect: mostly don’t matter</w:t>
      </w:r>
    </w:p>
    <w:p w14:paraId="3C459E4C" w14:textId="75CDF6E4" w:rsidR="0089674E" w:rsidRDefault="0089674E" w:rsidP="0089674E">
      <w:pPr>
        <w:pStyle w:val="ListParagraph"/>
        <w:numPr>
          <w:ilvl w:val="3"/>
          <w:numId w:val="1"/>
        </w:numPr>
      </w:pPr>
      <w:r>
        <w:t xml:space="preserve">Either have the major allele &amp; phenotype effects are swamped by ~40 other individuals </w:t>
      </w:r>
    </w:p>
    <w:p w14:paraId="798587AE" w14:textId="4F78A8AF" w:rsidR="0089674E" w:rsidRDefault="0089674E" w:rsidP="0089674E">
      <w:pPr>
        <w:pStyle w:val="ListParagraph"/>
        <w:numPr>
          <w:ilvl w:val="3"/>
          <w:numId w:val="1"/>
        </w:numPr>
      </w:pPr>
      <w:r>
        <w:t>Or have minor allele alone and will be dropped at 20% MAF</w:t>
      </w:r>
    </w:p>
    <w:p w14:paraId="62EC1E42" w14:textId="0C9E5C39" w:rsidR="0089674E" w:rsidRDefault="0089674E" w:rsidP="0089674E">
      <w:pPr>
        <w:pStyle w:val="ListParagraph"/>
        <w:numPr>
          <w:ilvl w:val="2"/>
          <w:numId w:val="1"/>
        </w:numPr>
      </w:pPr>
      <w:r>
        <w:t>Or: maybe sometimes have minor allele with other and could find some peaks due to overrepresented SNPs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t>No single threshold works: when permutation p-values are small, observed data also has small p</w:t>
      </w:r>
    </w:p>
    <w:p w14:paraId="33D119F8" w14:textId="58E7E513" w:rsidR="00FE0929" w:rsidRDefault="00FE0929" w:rsidP="00FE0929">
      <w:pPr>
        <w:pStyle w:val="ListParagraph"/>
        <w:numPr>
          <w:ilvl w:val="2"/>
          <w:numId w:val="1"/>
        </w:numPr>
      </w:pPr>
      <w:r>
        <w:t xml:space="preserve">100% threshold is too conservative for most genes </w:t>
      </w:r>
    </w:p>
    <w:p w14:paraId="4779B682" w14:textId="77777777" w:rsidR="004B612C" w:rsidRDefault="004B612C" w:rsidP="004B612C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235B79F6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076298F4" w14:textId="4B4B9596" w:rsidR="004B612C" w:rsidRDefault="004B612C" w:rsidP="004B612C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2DB67C87" w14:textId="3B55FA60" w:rsidR="004B612C" w:rsidRDefault="004B612C" w:rsidP="004B612C">
      <w:pPr>
        <w:pStyle w:val="ListParagraph"/>
        <w:numPr>
          <w:ilvl w:val="1"/>
          <w:numId w:val="1"/>
        </w:numPr>
      </w:pPr>
      <w:r>
        <w:lastRenderedPageBreak/>
        <w:t>filter genes (transcripts) for those with GWAS hits on a plant host. THEN look for eQTL hotspots (with a phenotypic connection)</w:t>
      </w:r>
    </w:p>
    <w:p w14:paraId="6C731814" w14:textId="77CF48A8" w:rsidR="004B612C" w:rsidRDefault="004B612C" w:rsidP="004B612C">
      <w:pPr>
        <w:pStyle w:val="ListParagraph"/>
        <w:numPr>
          <w:ilvl w:val="2"/>
          <w:numId w:val="1"/>
        </w:numPr>
      </w:pPr>
      <w:r>
        <w:t>on At Col0</w:t>
      </w:r>
    </w:p>
    <w:p w14:paraId="66235814" w14:textId="72CD8FF5" w:rsidR="004B612C" w:rsidRDefault="004B612C" w:rsidP="004B612C">
      <w:pPr>
        <w:pStyle w:val="ListParagraph"/>
        <w:numPr>
          <w:ilvl w:val="2"/>
          <w:numId w:val="1"/>
        </w:numPr>
      </w:pPr>
      <w:r>
        <w:t>on tomato</w:t>
      </w:r>
    </w:p>
    <w:p w14:paraId="6C928029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60724706" w14:textId="34FAC03D" w:rsidR="004B612C" w:rsidRDefault="004B612C" w:rsidP="000C7216">
      <w:pPr>
        <w:pStyle w:val="ListParagraph"/>
        <w:numPr>
          <w:ilvl w:val="0"/>
          <w:numId w:val="1"/>
        </w:numPr>
      </w:pPr>
      <w:r>
        <w:t>Samad-</w:t>
      </w:r>
      <w:proofErr w:type="spellStart"/>
      <w:r>
        <w:t>Zamini</w:t>
      </w:r>
      <w:proofErr w:type="spellEnd"/>
      <w:r>
        <w:t xml:space="preserve"> 2017 plant pathogen eQTL paper</w:t>
      </w:r>
    </w:p>
    <w:p w14:paraId="12ADA919" w14:textId="712F8AD3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eQTL may be independent of phenotypic QTL </w:t>
      </w:r>
    </w:p>
    <w:p w14:paraId="47EDA342" w14:textId="15A6CEC4" w:rsidR="004B612C" w:rsidRDefault="004B612C" w:rsidP="004B612C">
      <w:pPr>
        <w:pStyle w:val="ListParagraph"/>
        <w:numPr>
          <w:ilvl w:val="1"/>
          <w:numId w:val="1"/>
        </w:numPr>
      </w:pPr>
      <w:r>
        <w:t>eQTL may be time-dependent in the plant-pathogen interaction</w:t>
      </w:r>
    </w:p>
    <w:p w14:paraId="3B56EE4D" w14:textId="4CF90C57" w:rsidR="004B612C" w:rsidRDefault="004B612C" w:rsidP="004B612C">
      <w:pPr>
        <w:pStyle w:val="ListParagraph"/>
        <w:numPr>
          <w:ilvl w:val="0"/>
          <w:numId w:val="1"/>
        </w:numPr>
      </w:pPr>
      <w:r>
        <w:t>Perez-</w:t>
      </w:r>
      <w:proofErr w:type="spellStart"/>
      <w:r>
        <w:t>Enciso</w:t>
      </w:r>
      <w:proofErr w:type="spellEnd"/>
      <w:r>
        <w:t xml:space="preserve"> 2007 genetical genomics eQTL cofactors</w:t>
      </w:r>
    </w:p>
    <w:p w14:paraId="095B35B5" w14:textId="01D7BB6B" w:rsidR="004B612C" w:rsidRDefault="004B612C" w:rsidP="004B612C">
      <w:pPr>
        <w:pStyle w:val="ListParagraph"/>
        <w:numPr>
          <w:ilvl w:val="1"/>
          <w:numId w:val="1"/>
        </w:numPr>
      </w:pPr>
      <w:r>
        <w:t>Use all transcripts as potential regressors in eQTL analysis of each transcript</w:t>
      </w:r>
    </w:p>
    <w:p w14:paraId="4C3DA19B" w14:textId="7E2F313B" w:rsidR="004B612C" w:rsidRDefault="004B612C" w:rsidP="004B612C">
      <w:pPr>
        <w:pStyle w:val="ListParagraph"/>
        <w:numPr>
          <w:ilvl w:val="1"/>
          <w:numId w:val="1"/>
        </w:numPr>
      </w:pPr>
      <w:r w:rsidRPr="004B612C">
        <w:t>it may not be possible to disentangle between a direct effect of the marker on the gene or an indirect (spurious) effect caused by an intermediate gene in the same or co-regulated metabolic route.</w:t>
      </w:r>
    </w:p>
    <w:p w14:paraId="73809FD6" w14:textId="00487D05" w:rsidR="004B612C" w:rsidRDefault="004B612C" w:rsidP="004B612C">
      <w:pPr>
        <w:pStyle w:val="ListParagraph"/>
        <w:numPr>
          <w:ilvl w:val="2"/>
          <w:numId w:val="1"/>
        </w:numPr>
      </w:pPr>
      <w:r>
        <w:t>This is fine if we only care about eQTL hotspots controlling many loci</w:t>
      </w:r>
    </w:p>
    <w:p w14:paraId="60F8CC03" w14:textId="29774A83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lastRenderedPageBreak/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lastRenderedPageBreak/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44A39"/>
    <w:rsid w:val="000C7216"/>
    <w:rsid w:val="00131F0B"/>
    <w:rsid w:val="0015236A"/>
    <w:rsid w:val="001B035B"/>
    <w:rsid w:val="001B3BB1"/>
    <w:rsid w:val="002120E3"/>
    <w:rsid w:val="00221CDA"/>
    <w:rsid w:val="00224D45"/>
    <w:rsid w:val="002351B7"/>
    <w:rsid w:val="00252A4B"/>
    <w:rsid w:val="002653FE"/>
    <w:rsid w:val="0029373F"/>
    <w:rsid w:val="002E1D49"/>
    <w:rsid w:val="003A43C7"/>
    <w:rsid w:val="003E5A53"/>
    <w:rsid w:val="00431596"/>
    <w:rsid w:val="004469A7"/>
    <w:rsid w:val="00464B45"/>
    <w:rsid w:val="00464D6C"/>
    <w:rsid w:val="004B10A6"/>
    <w:rsid w:val="004B612C"/>
    <w:rsid w:val="00536F87"/>
    <w:rsid w:val="00572D77"/>
    <w:rsid w:val="00582EA9"/>
    <w:rsid w:val="005901C1"/>
    <w:rsid w:val="005B1D49"/>
    <w:rsid w:val="006C2652"/>
    <w:rsid w:val="00723822"/>
    <w:rsid w:val="00777843"/>
    <w:rsid w:val="007C4DA0"/>
    <w:rsid w:val="00827FBC"/>
    <w:rsid w:val="0089674E"/>
    <w:rsid w:val="0093069B"/>
    <w:rsid w:val="00972711"/>
    <w:rsid w:val="00A24641"/>
    <w:rsid w:val="00A46712"/>
    <w:rsid w:val="00A51951"/>
    <w:rsid w:val="00AC07B6"/>
    <w:rsid w:val="00B508DA"/>
    <w:rsid w:val="00B522C6"/>
    <w:rsid w:val="00B70FC5"/>
    <w:rsid w:val="00B94150"/>
    <w:rsid w:val="00BB4FDC"/>
    <w:rsid w:val="00BE0179"/>
    <w:rsid w:val="00C01759"/>
    <w:rsid w:val="00C20E79"/>
    <w:rsid w:val="00C276E5"/>
    <w:rsid w:val="00CD73FD"/>
    <w:rsid w:val="00D34484"/>
    <w:rsid w:val="00D40CE2"/>
    <w:rsid w:val="00D60325"/>
    <w:rsid w:val="00DB4D5B"/>
    <w:rsid w:val="00E1115A"/>
    <w:rsid w:val="00F12E2C"/>
    <w:rsid w:val="00F479B3"/>
    <w:rsid w:val="00F634BF"/>
    <w:rsid w:val="00FB2A78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2D6CB9E6-F774-4427-BC35-AD61F0D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30</cp:revision>
  <dcterms:created xsi:type="dcterms:W3CDTF">2018-11-01T01:11:00Z</dcterms:created>
  <dcterms:modified xsi:type="dcterms:W3CDTF">2018-11-28T05:36:00Z</dcterms:modified>
</cp:coreProperties>
</file>