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WEIBERG 2013 SCIENCE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AGO1: At </w:t>
      </w:r>
      <w:r>
        <w:rPr/>
        <w:t xml:space="preserve">resistance </w:t>
      </w:r>
      <w:r>
        <w:rPr/>
        <w:t>gene silencing (Bc-mediated) (Weiberg 2013)</w:t>
      </w:r>
    </w:p>
    <w:p>
      <w:pPr>
        <w:pStyle w:val="Normal"/>
        <w:rPr/>
      </w:pPr>
      <w:r>
        <w:rPr/>
        <w:tab/>
        <w:t>So nonfunctional mutants ago1 expect higher resistance</w:t>
      </w:r>
    </w:p>
    <w:p>
      <w:pPr>
        <w:pStyle w:val="Normal"/>
        <w:rPr/>
      </w:pPr>
      <w:r>
        <w:rPr/>
        <w:tab/>
        <w:t>But may be more susceptible to transposon insertions!</w:t>
      </w:r>
    </w:p>
    <w:p>
      <w:pPr>
        <w:pStyle w:val="Normal"/>
        <w:rPr/>
      </w:pPr>
      <w:r>
        <w:rPr/>
        <w:t>DCL1/2: Bc B02.10 dicer for sRNA processing (Weiberg)</w:t>
      </w:r>
    </w:p>
    <w:p>
      <w:pPr>
        <w:pStyle w:val="Normal"/>
        <w:rPr/>
      </w:pPr>
      <w:r>
        <w:rPr/>
        <w:tab/>
        <w:t>So nonfunctional mutants expect lower virulence</w:t>
      </w:r>
    </w:p>
    <w:p>
      <w:pPr>
        <w:pStyle w:val="Normal"/>
        <w:rPr/>
      </w:pPr>
      <w:r>
        <w:rPr/>
        <w:t>Potential problem: cell-localized response, undetectable if averaging transcriptional effects across large numbers of cells</w:t>
      </w:r>
    </w:p>
    <w:p>
      <w:pPr>
        <w:pStyle w:val="Normal"/>
        <w:rPr/>
      </w:pPr>
      <w:r>
        <w:rPr/>
        <w:t>Include economically dominant cultivars in studied genotypes?</w:t>
      </w:r>
    </w:p>
    <w:p>
      <w:pPr>
        <w:pStyle w:val="Normal"/>
        <w:rPr/>
      </w:pPr>
      <w:r>
        <w:rPr/>
        <w:t>Interface of fungal haustorium-host cell still poorly understood: how are effectors delivered to host?</w:t>
      </w:r>
    </w:p>
    <w:p>
      <w:pPr>
        <w:pStyle w:val="Normal"/>
        <w:rPr/>
      </w:pPr>
      <w:r>
        <w:rPr/>
        <w:t>Tomato, tobacco more susceptible than arabidopsis</w:t>
      </w:r>
    </w:p>
    <w:p>
      <w:pPr>
        <w:pStyle w:val="Normal"/>
        <w:rPr/>
      </w:pPr>
      <w:r>
        <w:rPr/>
        <w:t>qPCR for sRNA: ABI probes? Usually have to use Northern blot</w:t>
      </w:r>
    </w:p>
    <w:p>
      <w:pPr>
        <w:pStyle w:val="Normal"/>
        <w:rPr/>
      </w:pPr>
      <w:r>
        <w:rPr/>
        <w:t>MPK1 &amp; 2, WAK, PRXIIF, MAPKKK4 (Sl) targeted by siRNAs</w:t>
      </w:r>
    </w:p>
    <w:p>
      <w:pPr>
        <w:pStyle w:val="Normal"/>
        <w:rPr/>
      </w:pPr>
      <w:r>
        <w:rPr/>
        <w:t>*Review: siRNA in immunity, AGO, dicer – and paralogs of AGO, dicer</w:t>
      </w:r>
    </w:p>
    <w:p>
      <w:pPr>
        <w:pStyle w:val="Normal"/>
        <w:rPr/>
      </w:pPr>
      <w:r>
        <w:rPr/>
        <w:t>Read Balcombe 2013 Science for summary (&amp; summary figure)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en-US" w:eastAsia="en-US" w:bidi="ar-SA"/>
      </w:rPr>
    </w:rPrDefault>
    <w:pPrDefault>
      <w:pPr/>
    </w:pPrDefault>
  </w:docDefaults>
  <w:latentStyles w:count="267" w:defUnhideWhenUsed="1" w:defSemiHidden="1" w:defUIPriority="99" w:defQFormat="0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725984"/>
    <w:pPr>
      <w:widowControl/>
      <w:suppressAutoHyphens w:val="true"/>
      <w:bidi w:val="0"/>
      <w:jc w:val="left"/>
    </w:pPr>
    <w:rPr>
      <w:rFonts w:ascii="Calibri" w:hAnsi="Calibri" w:eastAsia="Droid Sans Fallback" w:cs="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2014-03-13T01:16:00Z</dcterms:created>
  <dc:creator>nicole</dc:creator>
  <dc:language>en-US</dc:language>
  <cp:lastModifiedBy>nicole</cp:lastModifiedBy>
  <dcterms:modified xsi:type="dcterms:W3CDTF">2014-03-13T03:44:00Z</dcterms:modified>
  <cp:revision>3</cp:revision>
</cp:coreProperties>
</file>