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2A4BAB8"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F6EFF">
        <w:rPr>
          <w:sz w:val="24"/>
          <w:szCs w:val="24"/>
        </w:rPr>
        <w:t xml:space="preserve"> the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EF6EFF">
        <w:rPr>
          <w:sz w:val="24"/>
          <w:szCs w:val="24"/>
        </w:rPr>
        <w:t>Focusing on plant-pathogen interactions, p</w:t>
      </w:r>
      <w:r w:rsidR="00C560C2" w:rsidRPr="00E764BE">
        <w:rPr>
          <w:sz w:val="24"/>
          <w:szCs w:val="24"/>
        </w:rPr>
        <w:t xml:space="preserve">athogens </w:t>
      </w:r>
      <w:r w:rsidR="00EF6EFF">
        <w:rPr>
          <w:sz w:val="24"/>
          <w:szCs w:val="24"/>
        </w:rPr>
        <w:t>are often</w:t>
      </w:r>
      <w:r w:rsidR="00C560C2" w:rsidRPr="00E764BE">
        <w:rPr>
          <w:sz w:val="24"/>
          <w:szCs w:val="24"/>
        </w:rPr>
        <w:t xml:space="preserv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sidR="00EF6EFF">
        <w:rPr>
          <w:sz w:val="24"/>
          <w:szCs w:val="24"/>
        </w:rPr>
        <w:t>are virulent</w:t>
      </w:r>
      <w:r>
        <w:rPr>
          <w:sz w:val="24"/>
          <w:szCs w:val="24"/>
        </w:rPr>
        <w:t xml:space="preserv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F6EFF">
        <w:rPr>
          <w:sz w:val="24"/>
          <w:szCs w:val="24"/>
        </w:rPr>
        <w:t>facilitates selection by</w:t>
      </w:r>
      <w:r w:rsidR="00C560C2" w:rsidRPr="00E764BE">
        <w:rPr>
          <w:sz w:val="24"/>
          <w:szCs w:val="24"/>
        </w:rPr>
        <w:t xml:space="preserve"> pathogen virulence genes </w:t>
      </w:r>
      <w:r w:rsidR="00EF6EFF">
        <w:rPr>
          <w:sz w:val="24"/>
          <w:szCs w:val="24"/>
        </w:rPr>
        <w:t xml:space="preserve">for </w:t>
      </w:r>
      <w:r w:rsidR="00E8258B" w:rsidRPr="00E764BE">
        <w:rPr>
          <w:sz w:val="24"/>
          <w:szCs w:val="24"/>
        </w:rPr>
        <w:t xml:space="preserve">altered </w:t>
      </w:r>
      <w:r w:rsidR="00C560C2" w:rsidRPr="00E764BE">
        <w:rPr>
          <w:sz w:val="24"/>
          <w:szCs w:val="24"/>
        </w:rPr>
        <w:t xml:space="preserve">host </w:t>
      </w:r>
      <w:r w:rsidR="00EF6EFF">
        <w:rPr>
          <w:sz w:val="24"/>
          <w:szCs w:val="24"/>
        </w:rPr>
        <w:t>resistance</w:t>
      </w:r>
      <w:r w:rsidR="00EA6EAB" w:rsidRPr="00E764BE">
        <w:rPr>
          <w:sz w:val="24"/>
          <w:szCs w:val="24"/>
        </w:rPr>
        <w:t xml:space="preserve"> genes</w:t>
      </w:r>
      <w:r w:rsidR="00EF6EFF">
        <w:rPr>
          <w:sz w:val="24"/>
          <w:szCs w:val="24"/>
        </w:rPr>
        <w:t>,</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990316">
        <w:rPr>
          <w:sz w:val="24"/>
          <w:szCs w:val="24"/>
        </w:rPr>
        <w:t xml:space="preserve"> {</w:t>
      </w:r>
      <w:proofErr w:type="spellStart"/>
      <w:r w:rsidR="00990316">
        <w:rPr>
          <w:sz w:val="24"/>
          <w:szCs w:val="24"/>
        </w:rPr>
        <w:t>Dodds</w:t>
      </w:r>
      <w:proofErr w:type="spellEnd"/>
      <w:r w:rsidR="00990316">
        <w:rPr>
          <w:sz w:val="24"/>
          <w:szCs w:val="24"/>
        </w:rPr>
        <w:t xml:space="preserve"> 2010; </w:t>
      </w:r>
      <w:proofErr w:type="spellStart"/>
      <w:r w:rsidR="00990316">
        <w:rPr>
          <w:sz w:val="24"/>
          <w:szCs w:val="24"/>
        </w:rPr>
        <w:t>Pieterse</w:t>
      </w:r>
      <w:proofErr w:type="spellEnd"/>
      <w:r w:rsidR="00990316">
        <w:rPr>
          <w:sz w:val="24"/>
          <w:szCs w:val="24"/>
        </w:rPr>
        <w:t xml:space="preserve"> 2012}</w:t>
      </w:r>
      <w:r w:rsidR="00EA6EAB" w:rsidRPr="00E764BE">
        <w:rPr>
          <w:sz w:val="24"/>
          <w:szCs w:val="24"/>
        </w:rPr>
        <w:t xml:space="preserve">.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R gene</w:t>
      </w:r>
      <w:r w:rsidR="00705F13">
        <w:rPr>
          <w:sz w:val="24"/>
          <w:szCs w:val="24"/>
        </w:rPr>
        <w:t xml:space="preserve"> {</w:t>
      </w:r>
      <w:proofErr w:type="spellStart"/>
      <w:r w:rsidR="00705F13">
        <w:rPr>
          <w:sz w:val="24"/>
          <w:szCs w:val="24"/>
        </w:rPr>
        <w:t>Dodds</w:t>
      </w:r>
      <w:proofErr w:type="spellEnd"/>
      <w:r w:rsidR="00705F13">
        <w:rPr>
          <w:sz w:val="24"/>
          <w:szCs w:val="24"/>
        </w:rPr>
        <w:t xml:space="preserve"> 2010; </w:t>
      </w:r>
      <w:proofErr w:type="spellStart"/>
      <w:r w:rsidR="00705F13">
        <w:rPr>
          <w:sz w:val="24"/>
          <w:szCs w:val="24"/>
        </w:rPr>
        <w:t>Dangl</w:t>
      </w:r>
      <w:proofErr w:type="spellEnd"/>
      <w:r w:rsidR="00705F13">
        <w:rPr>
          <w:sz w:val="24"/>
          <w:szCs w:val="24"/>
        </w:rPr>
        <w:t xml:space="preserve"> 2001; Jones 2006}</w:t>
      </w:r>
      <w:r w:rsidR="00EA6EAB" w:rsidRPr="00E764BE">
        <w:rPr>
          <w:sz w:val="24"/>
          <w:szCs w:val="24"/>
        </w:rPr>
        <w:t xml:space="preserv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xml:space="preserve">. The reciprocal selective </w:t>
      </w:r>
      <w:proofErr w:type="gramStart"/>
      <w:r w:rsidR="00EA6EAB" w:rsidRPr="00E764BE">
        <w:rPr>
          <w:sz w:val="24"/>
          <w:szCs w:val="24"/>
        </w:rPr>
        <w:t>pressures present in interactions between hosts and specialist pathogens make</w:t>
      </w:r>
      <w:r w:rsidR="001923E8">
        <w:rPr>
          <w:sz w:val="24"/>
          <w:szCs w:val="24"/>
        </w:rPr>
        <w:t>s</w:t>
      </w:r>
      <w:proofErr w:type="gramEnd"/>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32285FA3"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EF6EFF">
        <w:rPr>
          <w:sz w:val="24"/>
          <w:szCs w:val="24"/>
        </w:rPr>
        <w:t xml:space="preserve">cause disease in </w:t>
      </w:r>
      <w:r w:rsidR="00E8258B" w:rsidRPr="00E764BE">
        <w:rPr>
          <w:sz w:val="24"/>
          <w:szCs w:val="24"/>
        </w:rPr>
        <w:t xml:space="preserve">diverse hosts across taxa. They may be less sensitive to variation in host susceptibility/resistance gene evolution because of their ability to shift niche 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EF6EFF">
        <w:rPr>
          <w:sz w:val="24"/>
          <w:szCs w:val="24"/>
        </w:rPr>
        <w:t xml:space="preserve">detrimental </w:t>
      </w:r>
      <w:r w:rsidR="00E8258B" w:rsidRPr="00E764BE">
        <w:rPr>
          <w:sz w:val="24"/>
          <w:szCs w:val="24"/>
        </w:rPr>
        <w:t>shifts in specific hosts</w:t>
      </w:r>
      <w:r w:rsidR="00D1350F">
        <w:rPr>
          <w:sz w:val="24"/>
          <w:szCs w:val="24"/>
        </w:rPr>
        <w:t>,</w:t>
      </w:r>
      <w:r w:rsidR="00E8258B" w:rsidRPr="00E764BE">
        <w:rPr>
          <w:sz w:val="24"/>
          <w:szCs w:val="24"/>
        </w:rPr>
        <w:t xml:space="preserve"> </w:t>
      </w:r>
      <w:r w:rsidR="00D1350F">
        <w:rPr>
          <w:sz w:val="24"/>
          <w:szCs w:val="24"/>
        </w:rPr>
        <w:t>making evolution of</w:t>
      </w:r>
      <w:r w:rsidRPr="00E764BE">
        <w:rPr>
          <w:sz w:val="24"/>
          <w:szCs w:val="24"/>
        </w:rPr>
        <w:t xml:space="preserve"> gene-for-gene </w:t>
      </w:r>
      <w:r w:rsidR="00DC717E">
        <w:rPr>
          <w:sz w:val="24"/>
          <w:szCs w:val="24"/>
        </w:rPr>
        <w:t>interactions</w:t>
      </w:r>
      <w:r w:rsidR="00EF6EFF">
        <w:rPr>
          <w:sz w:val="24"/>
          <w:szCs w:val="24"/>
        </w:rPr>
        <w:t xml:space="preserve"> </w:t>
      </w:r>
      <w:r w:rsidR="00E8258B" w:rsidRPr="00E764BE">
        <w:rPr>
          <w:sz w:val="24"/>
          <w:szCs w:val="24"/>
        </w:rPr>
        <w:t xml:space="preserve">or large effect qualitative </w:t>
      </w:r>
      <w:r w:rsidRPr="00E764BE">
        <w:rPr>
          <w:sz w:val="24"/>
          <w:szCs w:val="24"/>
        </w:rPr>
        <w:t xml:space="preserve">resistance </w:t>
      </w:r>
      <w:r w:rsidR="00D1350F">
        <w:rPr>
          <w:sz w:val="24"/>
          <w:szCs w:val="24"/>
        </w:rPr>
        <w:t>rare</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lastRenderedPageBreak/>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T</w:t>
      </w:r>
      <w:r w:rsidR="004D6C07">
        <w:rPr>
          <w:sz w:val="24"/>
          <w:szCs w:val="24"/>
        </w:rPr>
        <w:t xml:space="preserve">here are no known </w:t>
      </w:r>
      <w:r w:rsidR="00E8258B" w:rsidRPr="00E764BE">
        <w:rPr>
          <w:sz w:val="24"/>
          <w:szCs w:val="24"/>
        </w:rPr>
        <w:t>naturally variable resistance loci</w:t>
      </w:r>
      <w:r w:rsidR="004D6C07">
        <w:rPr>
          <w:sz w:val="24"/>
          <w:szCs w:val="24"/>
        </w:rPr>
        <w:t xml:space="preserve"> with large effects on </w:t>
      </w:r>
      <w:r w:rsidR="00DC717E">
        <w:rPr>
          <w:sz w:val="24"/>
          <w:szCs w:val="24"/>
        </w:rPr>
        <w:t xml:space="preserve">qualitative </w:t>
      </w:r>
      <w:r w:rsidR="00E8258B" w:rsidRPr="00E764BE">
        <w:rPr>
          <w:sz w:val="24"/>
          <w:szCs w:val="24"/>
        </w:rPr>
        <w:t xml:space="preserve">plant defense against generalist pathogens such as </w:t>
      </w:r>
      <w:r w:rsidR="00E8258B" w:rsidRPr="00436F19">
        <w:rPr>
          <w:i/>
          <w:sz w:val="24"/>
          <w:szCs w:val="24"/>
        </w:rPr>
        <w:t>Botrytis cinerea</w:t>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end"/>
      </w:r>
      <w:r w:rsidR="00D1350F">
        <w:rPr>
          <w:sz w:val="24"/>
          <w:szCs w:val="24"/>
        </w:rPr>
        <w:t xml:space="preserve"> {Rowe 2008; Corwin 2016; </w:t>
      </w:r>
      <w:proofErr w:type="spellStart"/>
      <w:r w:rsidR="00D1350F">
        <w:rPr>
          <w:sz w:val="24"/>
          <w:szCs w:val="24"/>
        </w:rPr>
        <w:t>Glazebrook</w:t>
      </w:r>
      <w:proofErr w:type="spellEnd"/>
      <w:r w:rsidR="00D1350F">
        <w:rPr>
          <w:sz w:val="24"/>
          <w:szCs w:val="24"/>
        </w:rPr>
        <w:t xml:space="preserve"> 2005}</w:t>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1"/>
      <w:commentRangeStart w:id="2"/>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1"/>
      <w:r w:rsidR="008F425E" w:rsidRPr="00436F19">
        <w:rPr>
          <w:rStyle w:val="CommentReference"/>
          <w:sz w:val="24"/>
          <w:szCs w:val="24"/>
        </w:rPr>
        <w:commentReference w:id="1"/>
      </w:r>
      <w:commentRangeEnd w:id="2"/>
      <w:r w:rsidR="000A4A33">
        <w:rPr>
          <w:rStyle w:val="CommentReference"/>
        </w:rPr>
        <w:commentReference w:id="2"/>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genetics within the infecting pathogen</w:t>
      </w:r>
      <w:r w:rsidR="00DC717E">
        <w:rPr>
          <w:sz w:val="24"/>
          <w:szCs w:val="24"/>
        </w:rPr>
        <w:t xml:space="preserve">. However, </w:t>
      </w:r>
      <w:r w:rsidR="000F0B41">
        <w:rPr>
          <w:sz w:val="24"/>
          <w:szCs w:val="24"/>
        </w:rPr>
        <w:t xml:space="preserve">very little is known about the </w:t>
      </w:r>
      <w:r w:rsidR="008F425E" w:rsidRPr="00436F19">
        <w:rPr>
          <w:sz w:val="24"/>
          <w:szCs w:val="24"/>
        </w:rPr>
        <w:t>genetic variation of virulence loci within generalist pathogens.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23DCCD7C" w:rsidR="009836A7" w:rsidRPr="00471076" w:rsidRDefault="00DC717E" w:rsidP="007B72CF">
      <w:pPr>
        <w:spacing w:line="480" w:lineRule="auto"/>
        <w:ind w:firstLine="720"/>
        <w:rPr>
          <w:sz w:val="24"/>
          <w:szCs w:val="24"/>
        </w:rPr>
      </w:pPr>
      <w:r>
        <w:rPr>
          <w:sz w:val="24"/>
          <w:szCs w:val="24"/>
        </w:rPr>
        <w:t xml:space="preserve">Plant domestication has large effects on plant genetic variation, including variation controlling pathogen resistance. </w:t>
      </w:r>
      <w:r w:rsidR="00BB47CC">
        <w:rPr>
          <w:sz w:val="24"/>
          <w:szCs w:val="24"/>
        </w:rPr>
        <w:t>In response to</w:t>
      </w:r>
      <w:r w:rsidR="00FE7C80">
        <w:rPr>
          <w:sz w:val="24"/>
          <w:szCs w:val="24"/>
        </w:rPr>
        <w:t xml:space="preserve"> specialist pathogens, d</w:t>
      </w:r>
      <w:r w:rsidR="004B451C">
        <w:rPr>
          <w:sz w:val="24"/>
          <w:szCs w:val="24"/>
        </w:rPr>
        <w:t>omesticated</w:t>
      </w:r>
      <w:r w:rsidR="00BB47CC">
        <w:rPr>
          <w:sz w:val="24"/>
          <w:szCs w:val="24"/>
        </w:rPr>
        <w:t xml:space="preserve"> plant</w:t>
      </w:r>
      <w:r w:rsidR="004B451C">
        <w:rPr>
          <w:sz w:val="24"/>
          <w:szCs w:val="24"/>
        </w:rPr>
        <w:t xml:space="preserve"> varieties are typically more sensitive than their wild </w:t>
      </w:r>
      <w:commentRangeStart w:id="3"/>
      <w:r w:rsidR="004B451C">
        <w:rPr>
          <w:sz w:val="24"/>
          <w:szCs w:val="24"/>
        </w:rPr>
        <w:t>relatives</w:t>
      </w:r>
      <w:commentRangeEnd w:id="3"/>
      <w:r>
        <w:rPr>
          <w:rStyle w:val="CommentReference"/>
        </w:rPr>
        <w:commentReference w:id="3"/>
      </w:r>
      <w:r w:rsidR="004B451C">
        <w:rPr>
          <w:sz w:val="24"/>
          <w:szCs w:val="24"/>
        </w:rPr>
        <w:t xml:space="preserve">.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w:t>
      </w:r>
      <w:r>
        <w:rPr>
          <w:sz w:val="24"/>
          <w:szCs w:val="24"/>
        </w:rPr>
        <w:t xml:space="preserve">cultivated plants experience reduced </w:t>
      </w:r>
      <w:r w:rsidR="00EF5A6D" w:rsidRPr="00471076">
        <w:rPr>
          <w:sz w:val="24"/>
          <w:szCs w:val="24"/>
        </w:rPr>
        <w:t xml:space="preserve">selective pressures from pathogens. In contrast, domesticated plants </w:t>
      </w:r>
      <w:r w:rsidR="00EF472B">
        <w:rPr>
          <w:sz w:val="24"/>
          <w:szCs w:val="24"/>
        </w:rPr>
        <w:t xml:space="preserve">can </w:t>
      </w:r>
      <w:r w:rsidR="00EF5A6D" w:rsidRPr="00471076">
        <w:rPr>
          <w:sz w:val="24"/>
          <w:szCs w:val="24"/>
        </w:rPr>
        <w:t>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w:t>
      </w:r>
      <w:r w:rsidR="003E5F69">
        <w:rPr>
          <w:sz w:val="24"/>
          <w:szCs w:val="24"/>
        </w:rPr>
        <w:lastRenderedPageBreak/>
        <w:t>are assumed to hold for generalist pathogens and their domesticated hosts as well. However, we have less information about how domestication of hosts affects</w:t>
      </w:r>
      <w:r w:rsidR="00322463">
        <w:rPr>
          <w:sz w:val="24"/>
          <w:szCs w:val="24"/>
        </w:rPr>
        <w:t xml:space="preserve"> disease due to</w:t>
      </w:r>
      <w:r w:rsidR="003E5F69">
        <w:rPr>
          <w:sz w:val="24"/>
          <w:szCs w:val="24"/>
        </w:rPr>
        <w:t xml:space="preserve"> generalist pathogens. It is possible that generalist pathogens are relatively insensitive to domestication and these genetic bottlenecks.</w:t>
      </w:r>
      <w:r w:rsidR="009836A7" w:rsidRPr="00471076">
        <w:rPr>
          <w:sz w:val="24"/>
          <w:szCs w:val="24"/>
        </w:rPr>
        <w:t xml:space="preserve"> </w:t>
      </w:r>
    </w:p>
    <w:p w14:paraId="28E69A94" w14:textId="1A5886B0" w:rsidR="00D3121D" w:rsidRPr="00DA7FA8" w:rsidRDefault="009F588B" w:rsidP="00322463">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4"/>
      <w:commentRangeStart w:id="5"/>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322463">
        <w:rPr>
          <w:sz w:val="24"/>
          <w:szCs w:val="24"/>
        </w:rPr>
        <w:t>. This genetic variation</w:t>
      </w:r>
      <w:r w:rsidR="00471076">
        <w:rPr>
          <w:sz w:val="24"/>
          <w:szCs w:val="24"/>
        </w:rPr>
        <w:t xml:space="preserve"> </w:t>
      </w:r>
      <w:r w:rsidR="00D3121D" w:rsidRPr="00DA7FA8">
        <w:rPr>
          <w:sz w:val="24"/>
          <w:szCs w:val="24"/>
        </w:rPr>
        <w:t xml:space="preserve">appears to </w:t>
      </w:r>
      <w:r w:rsidR="00322463">
        <w:rPr>
          <w:sz w:val="24"/>
          <w:szCs w:val="24"/>
        </w:rPr>
        <w:t>contribute to</w:t>
      </w:r>
      <w:r w:rsidR="00D3121D" w:rsidRPr="00DA7FA8">
        <w:rPr>
          <w:sz w:val="24"/>
          <w:szCs w:val="24"/>
        </w:rPr>
        <w:t xml:space="preserve">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 xml:space="preserve">More recently, natural variation </w:t>
      </w:r>
      <w:r w:rsidR="00D3121D" w:rsidRPr="00DA7FA8">
        <w:rPr>
          <w:sz w:val="24"/>
          <w:szCs w:val="24"/>
        </w:rPr>
        <w:lastRenderedPageBreak/>
        <w:t>in VELVET, a</w:t>
      </w:r>
      <w:r w:rsidR="00322463">
        <w:rPr>
          <w:sz w:val="24"/>
          <w:szCs w:val="24"/>
        </w:rPr>
        <w:t xml:space="preserve"> gene involved in</w:t>
      </w:r>
      <w:r w:rsidR="00D3121D" w:rsidRPr="00DA7FA8">
        <w:rPr>
          <w:sz w:val="24"/>
          <w:szCs w:val="24"/>
        </w:rPr>
        <w:t xml:space="preserve"> </w:t>
      </w:r>
      <w:r w:rsidR="00632015">
        <w:rPr>
          <w:sz w:val="24"/>
          <w:szCs w:val="24"/>
        </w:rPr>
        <w:t>development and secondary metabolism</w:t>
      </w:r>
      <w:r w:rsidR="00E437E9">
        <w:rPr>
          <w:sz w:val="24"/>
          <w:szCs w:val="24"/>
        </w:rPr>
        <w:t>,</w:t>
      </w:r>
      <w:r w:rsidR="00D3121D" w:rsidRPr="00DA7FA8">
        <w:rPr>
          <w:sz w:val="24"/>
          <w:szCs w:val="24"/>
        </w:rPr>
        <w:t xml:space="preserve"> was</w:t>
      </w:r>
      <w:r w:rsidR="00322463">
        <w:rPr>
          <w:sz w:val="24"/>
          <w:szCs w:val="24"/>
        </w:rPr>
        <w:t xml:space="preserve"> found</w:t>
      </w:r>
      <w:r w:rsidR="00D3121D" w:rsidRPr="00DA7FA8">
        <w:rPr>
          <w:sz w:val="24"/>
          <w:szCs w:val="24"/>
        </w:rPr>
        <w:t xml:space="preserve"> to be necessar</w:t>
      </w:r>
      <w:r w:rsidR="00796342">
        <w:rPr>
          <w:sz w:val="24"/>
          <w:szCs w:val="24"/>
        </w:rPr>
        <w:t xml:space="preserve">y for oxalic acid production. </w:t>
      </w:r>
      <w:r w:rsidR="00322463">
        <w:rPr>
          <w:sz w:val="24"/>
          <w:szCs w:val="24"/>
        </w:rPr>
        <w:t xml:space="preserve">Variation in VELVET </w:t>
      </w:r>
      <w:r w:rsidR="00471076">
        <w:rPr>
          <w:sz w:val="24"/>
          <w:szCs w:val="24"/>
        </w:rPr>
        <w:t>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322463">
        <w:rPr>
          <w:sz w:val="24"/>
          <w:szCs w:val="24"/>
        </w:rPr>
        <w:t xml:space="preserve">Isolates of </w:t>
      </w:r>
      <w:r w:rsidR="00322463" w:rsidRPr="00322463">
        <w:rPr>
          <w:i/>
          <w:sz w:val="24"/>
          <w:szCs w:val="24"/>
        </w:rPr>
        <w:t>B. cinerea</w:t>
      </w:r>
      <w:r w:rsidR="00322463">
        <w:rPr>
          <w:sz w:val="24"/>
          <w:szCs w:val="24"/>
        </w:rPr>
        <w:t xml:space="preserve"> are also highly variable g</w:t>
      </w:r>
      <w:r w:rsidR="00750F0F" w:rsidRPr="00796342">
        <w:rPr>
          <w:sz w:val="24"/>
          <w:szCs w:val="24"/>
        </w:rPr>
        <w:t>enome-wide</w:t>
      </w:r>
      <w:r w:rsidR="000328E8">
        <w:rPr>
          <w:sz w:val="24"/>
          <w:szCs w:val="24"/>
        </w:rPr>
        <w:t>; at XX</w:t>
      </w:r>
      <w:r w:rsidR="00796342" w:rsidRPr="00796342">
        <w:rPr>
          <w:sz w:val="24"/>
          <w:szCs w:val="24"/>
        </w:rPr>
        <w:t xml:space="preserve"> it is more variable than previously studied pathogens, and</w:t>
      </w:r>
      <w:ins w:id="6" w:author="Nicole Soltis" w:date="2017-01-18T15:51:00Z">
        <w:r w:rsidR="00750F0F" w:rsidRPr="00796342">
          <w:rPr>
            <w:sz w:val="24"/>
            <w:szCs w:val="24"/>
          </w:rPr>
          <w:t xml:space="preserve"> on par with XXXX (</w:t>
        </w:r>
        <w:commentRangeStart w:id="7"/>
        <w:commentRangeStart w:id="8"/>
        <w:r w:rsidR="00750F0F" w:rsidRPr="00796342">
          <w:rPr>
            <w:sz w:val="24"/>
            <w:szCs w:val="24"/>
          </w:rPr>
          <w:t>CITATION</w:t>
        </w:r>
      </w:ins>
      <w:commentRangeEnd w:id="7"/>
      <w:r w:rsidR="00A42B96">
        <w:rPr>
          <w:rStyle w:val="CommentReference"/>
        </w:rPr>
        <w:commentReference w:id="7"/>
      </w:r>
      <w:commentRangeEnd w:id="8"/>
      <w:r w:rsidR="000A4A33">
        <w:rPr>
          <w:rStyle w:val="CommentReference"/>
        </w:rPr>
        <w:commentReference w:id="8"/>
      </w:r>
      <w:ins w:id="9" w:author="Nicole Soltis" w:date="2017-01-18T15:51:00Z">
        <w:r w:rsidR="00750F0F" w:rsidRPr="00796342">
          <w:rPr>
            <w:sz w:val="24"/>
            <w:szCs w:val="24"/>
          </w:rPr>
          <w:t xml:space="preserve">). </w:t>
        </w:r>
      </w:ins>
      <w:proofErr w:type="gramStart"/>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4"/>
      <w:r w:rsidR="00D3121D" w:rsidRPr="00DA7FA8">
        <w:rPr>
          <w:rStyle w:val="CommentReference"/>
          <w:sz w:val="24"/>
          <w:szCs w:val="24"/>
        </w:rPr>
        <w:commentReference w:id="4"/>
      </w:r>
      <w:commentRangeEnd w:id="5"/>
      <w:r w:rsidR="000A4A33">
        <w:rPr>
          <w:rStyle w:val="CommentReference"/>
        </w:rPr>
        <w:commentReference w:id="5"/>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4DEECB53" w:rsidR="00EA6EAB" w:rsidRPr="00471076" w:rsidRDefault="00322463" w:rsidP="00471076">
      <w:pPr>
        <w:spacing w:line="480" w:lineRule="auto"/>
        <w:ind w:firstLine="720"/>
        <w:rPr>
          <w:sz w:val="24"/>
          <w:szCs w:val="24"/>
        </w:rPr>
      </w:pPr>
      <w:r>
        <w:rPr>
          <w:sz w:val="24"/>
          <w:szCs w:val="24"/>
        </w:rPr>
        <w:t xml:space="preserve">On the plant side, plant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0"/>
      <w:r w:rsidR="00EA6EAB" w:rsidRPr="00471076">
        <w:rPr>
          <w:sz w:val="24"/>
          <w:szCs w:val="24"/>
        </w:rPr>
        <w:t xml:space="preserve">15% </w:t>
      </w:r>
      <w:commentRangeEnd w:id="10"/>
      <w:r w:rsidR="007A7AF3">
        <w:rPr>
          <w:rStyle w:val="CommentReference"/>
        </w:rPr>
        <w:commentReference w:id="10"/>
      </w:r>
      <w:r w:rsidR="00EA6EAB" w:rsidRPr="00471076">
        <w:rPr>
          <w:sz w:val="24"/>
          <w:szCs w:val="24"/>
        </w:rPr>
        <w:t xml:space="preserve">of phenotypic variation in a stem </w:t>
      </w:r>
      <w:commentRangeStart w:id="11"/>
      <w:r w:rsidR="00EA6EAB" w:rsidRPr="00471076">
        <w:rPr>
          <w:sz w:val="24"/>
          <w:szCs w:val="24"/>
        </w:rPr>
        <w:t>bioassay</w:t>
      </w:r>
      <w:commentRangeEnd w:id="11"/>
      <w:r w:rsidR="002E0F7F">
        <w:rPr>
          <w:rStyle w:val="CommentReference"/>
        </w:rPr>
        <w:commentReference w:id="11"/>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12"/>
      <w:r w:rsidR="000F79B1" w:rsidRPr="00471076">
        <w:rPr>
          <w:sz w:val="24"/>
          <w:szCs w:val="24"/>
        </w:rPr>
        <w:t>physiology and resistance</w:t>
      </w:r>
      <w:commentRangeEnd w:id="12"/>
      <w:r>
        <w:rPr>
          <w:rStyle w:val="CommentReference"/>
        </w:rPr>
        <w:commentReference w:id="12"/>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 xml:space="preserve">domestication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34D90768"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13"/>
      <w:r w:rsidR="00847ADB">
        <w:rPr>
          <w:sz w:val="24"/>
          <w:szCs w:val="24"/>
        </w:rPr>
        <w:t xml:space="preserve">tomato genotype. </w:t>
      </w:r>
      <w:commentRangeEnd w:id="13"/>
      <w:r w:rsidR="007F081A">
        <w:rPr>
          <w:rStyle w:val="CommentReference"/>
        </w:rPr>
        <w:commentReference w:id="13"/>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6DCFA8B4"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and less than 10% missing values (SNP calls in at least 82/ 91 isolates)</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 xml:space="preserve">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43A1B689"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lastRenderedPageBreak/>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14"/>
      <w:r w:rsidR="00F126CA">
        <w:rPr>
          <w:sz w:val="24"/>
          <w:szCs w:val="24"/>
        </w:rPr>
        <w:t xml:space="preserve">impact </w:t>
      </w:r>
      <w:commentRangeEnd w:id="14"/>
      <w:r w:rsidR="003D26E5">
        <w:rPr>
          <w:rStyle w:val="CommentReference"/>
        </w:rPr>
        <w:commentReference w:id="14"/>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w:t>
      </w:r>
      <w:r w:rsidR="00B56BCA">
        <w:rPr>
          <w:sz w:val="24"/>
          <w:szCs w:val="24"/>
        </w:rPr>
        <w:lastRenderedPageBreak/>
        <w:t xml:space="preserve">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xml:space="preserve">; </w:t>
      </w:r>
      <w:proofErr w:type="spellStart"/>
      <w:r w:rsidR="00A333FE">
        <w:rPr>
          <w:sz w:val="24"/>
          <w:szCs w:val="24"/>
        </w:rPr>
        <w:t>Denby</w:t>
      </w:r>
      <w:proofErr w:type="spellEnd"/>
      <w:r w:rsidR="00A333FE">
        <w:rPr>
          <w:sz w:val="24"/>
          <w:szCs w:val="24"/>
        </w:rPr>
        <w:t xml:space="preserve">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38810F63"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w:t>
      </w:r>
      <w:r w:rsidR="00D71B30">
        <w:rPr>
          <w:sz w:val="24"/>
          <w:szCs w:val="24"/>
        </w:rPr>
        <w:lastRenderedPageBreak/>
        <w:t xml:space="preserve">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15" w:author="Daniel Kliebenstein" w:date="2017-01-13T11:53:00Z">
        <w:r w:rsidR="00E019E8">
          <w:rPr>
            <w:sz w:val="24"/>
            <w:szCs w:val="24"/>
          </w:rPr>
          <w:t>(</w:t>
        </w:r>
        <w:commentRangeStart w:id="16"/>
        <w:commentRangeStart w:id="17"/>
        <w:proofErr w:type="gramEnd"/>
        <w:r w:rsidR="00E019E8">
          <w:rPr>
            <w:sz w:val="24"/>
            <w:szCs w:val="24"/>
          </w:rPr>
          <w:t>CITATIONS</w:t>
        </w:r>
        <w:commentRangeEnd w:id="16"/>
        <w:r w:rsidR="00E019E8">
          <w:rPr>
            <w:rStyle w:val="CommentReference"/>
          </w:rPr>
          <w:commentReference w:id="16"/>
        </w:r>
      </w:ins>
      <w:commentRangeEnd w:id="17"/>
      <w:r w:rsidR="00E019E8">
        <w:rPr>
          <w:rStyle w:val="CommentReference"/>
        </w:rPr>
        <w:commentReference w:id="17"/>
      </w:r>
      <w:ins w:id="18"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19"/>
      <w:r w:rsidR="00E019E8">
        <w:rPr>
          <w:sz w:val="24"/>
          <w:szCs w:val="24"/>
        </w:rPr>
        <w:t xml:space="preserve">resistance </w:t>
      </w:r>
      <w:commentRangeEnd w:id="19"/>
      <w:r w:rsidR="0043516B">
        <w:rPr>
          <w:rStyle w:val="CommentReference"/>
        </w:rPr>
        <w:commentReference w:id="19"/>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lastRenderedPageBreak/>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AECE92E"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w:t>
      </w:r>
      <w:r w:rsidR="00F803BC">
        <w:rPr>
          <w:sz w:val="24"/>
          <w:szCs w:val="24"/>
        </w:rPr>
        <w:lastRenderedPageBreak/>
        <w:t>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proofErr w:type="gramStart"/>
      <w:r w:rsidR="00102FE8">
        <w:rPr>
          <w:sz w:val="24"/>
          <w:szCs w:val="24"/>
        </w:rPr>
        <w:t>}</w:t>
      </w:r>
      <w:r w:rsidR="00920521">
        <w:rPr>
          <w:sz w:val="24"/>
          <w:szCs w:val="24"/>
        </w:rPr>
        <w:t>(</w:t>
      </w:r>
      <w:commentRangeStart w:id="20"/>
      <w:commentRangeStart w:id="21"/>
      <w:proofErr w:type="gramEnd"/>
      <w:r w:rsidR="00920521">
        <w:rPr>
          <w:sz w:val="24"/>
          <w:szCs w:val="24"/>
        </w:rPr>
        <w:t>Citations</w:t>
      </w:r>
      <w:commentRangeEnd w:id="20"/>
      <w:r w:rsidR="00920521">
        <w:rPr>
          <w:rStyle w:val="CommentReference"/>
        </w:rPr>
        <w:commentReference w:id="20"/>
      </w:r>
      <w:commentRangeEnd w:id="21"/>
      <w:r w:rsidR="002E0F7F">
        <w:rPr>
          <w:rStyle w:val="CommentReference"/>
        </w:rPr>
        <w:commentReference w:id="21"/>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3A29D16F" w:rsidR="00F803BC" w:rsidRDefault="00AF2308" w:rsidP="00E77651">
      <w:pPr>
        <w:spacing w:line="480" w:lineRule="auto"/>
        <w:ind w:firstLine="720"/>
        <w:rPr>
          <w:sz w:val="24"/>
          <w:szCs w:val="24"/>
        </w:rPr>
      </w:pPr>
      <w:commentRangeStart w:id="22"/>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22"/>
      <w:r w:rsidR="006830A0">
        <w:rPr>
          <w:rStyle w:val="CommentReference"/>
        </w:rPr>
        <w:commentReference w:id="22"/>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because F-tests with 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t>
      </w:r>
      <w:r w:rsidR="00E33AB3">
        <w:rPr>
          <w:sz w:val="24"/>
          <w:szCs w:val="24"/>
        </w:rPr>
        <w:lastRenderedPageBreak/>
        <w:t xml:space="preserve">with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so we do not see evidence of sensitivity to genetic variation in tomato in these isolates.</w:t>
      </w:r>
    </w:p>
    <w:p w14:paraId="64BF6A25" w14:textId="7DDB0EA0" w:rsidR="006755B8" w:rsidRDefault="006830A0" w:rsidP="0032415F">
      <w:pPr>
        <w:spacing w:line="480" w:lineRule="auto"/>
        <w:ind w:firstLine="720"/>
        <w:rPr>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2081643A" w:rsidR="00BC5308" w:rsidRDefault="005D0AE7" w:rsidP="008A0D22">
      <w:pPr>
        <w:spacing w:line="480" w:lineRule="auto"/>
        <w:rPr>
          <w:sz w:val="24"/>
          <w:szCs w:val="24"/>
        </w:rPr>
      </w:pPr>
      <w:commentRangeStart w:id="23"/>
      <w:r>
        <w:rPr>
          <w:sz w:val="24"/>
          <w:szCs w:val="24"/>
        </w:rPr>
        <w:tab/>
      </w:r>
      <w:commentRangeStart w:id="24"/>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23"/>
      <w:r w:rsidR="00FD66D5">
        <w:rPr>
          <w:rStyle w:val="CommentReference"/>
        </w:rPr>
        <w:commentReference w:id="23"/>
      </w:r>
      <w:commentRangeEnd w:id="24"/>
      <w:r w:rsidR="006830A0">
        <w:rPr>
          <w:rStyle w:val="CommentReference"/>
        </w:rPr>
        <w:commentReference w:id="24"/>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We calculated least-</w:t>
      </w:r>
      <w:r>
        <w:rPr>
          <w:sz w:val="24"/>
          <w:szCs w:val="24"/>
        </w:rPr>
        <w:lastRenderedPageBreak/>
        <w:t xml:space="preserve">squared means of lesion size for each isolate from linear models within each plant genotype, including the effects of isolate, experiment, and individual plant. We used a ridge-regression 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SNP variation for the 9</w:t>
      </w:r>
      <w:r w:rsidR="003419B2">
        <w:rPr>
          <w:sz w:val="24"/>
          <w:szCs w:val="24"/>
        </w:rPr>
        <w:t>1</w:t>
      </w:r>
      <w:r>
        <w:rPr>
          <w:sz w:val="24"/>
          <w:szCs w:val="24"/>
        </w:rPr>
        <w:t xml:space="preserve">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1CFF3AAD"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w:t>
      </w:r>
      <w:r w:rsidR="0055730F">
        <w:rPr>
          <w:sz w:val="24"/>
          <w:szCs w:val="24"/>
        </w:rPr>
        <w:t xml:space="preserve"> On all of the hosts, many SNPs had effect size estimates exceeding the 99% permutation threshold, ranging from 1284 to </w:t>
      </w:r>
      <w:commentRangeStart w:id="25"/>
      <w:r w:rsidR="0055730F">
        <w:rPr>
          <w:sz w:val="24"/>
          <w:szCs w:val="24"/>
        </w:rPr>
        <w:t xml:space="preserve">24669 </w:t>
      </w:r>
      <w:commentRangeEnd w:id="25"/>
      <w:r w:rsidR="0055730F">
        <w:rPr>
          <w:rStyle w:val="CommentReference"/>
        </w:rPr>
        <w:commentReference w:id="25"/>
      </w:r>
      <w:r w:rsidR="0055730F">
        <w:rPr>
          <w:sz w:val="24"/>
          <w:szCs w:val="24"/>
        </w:rPr>
        <w:t>SNPs per host.</w:t>
      </w:r>
      <w:r w:rsidR="00BC5308">
        <w:rPr>
          <w:sz w:val="24"/>
          <w:szCs w:val="24"/>
        </w:rPr>
        <w:t xml:space="preserve"> </w:t>
      </w:r>
      <w:commentRangeStart w:id="26"/>
      <w:r w:rsidR="006E62C1">
        <w:rPr>
          <w:sz w:val="24"/>
          <w:szCs w:val="24"/>
        </w:rPr>
        <w:t>For the remaining 3 domesticated hosts, at least 1</w:t>
      </w:r>
      <w:r w:rsidR="00BC5308">
        <w:rPr>
          <w:sz w:val="24"/>
          <w:szCs w:val="24"/>
        </w:rPr>
        <w:t>400</w:t>
      </w:r>
      <w:r w:rsidR="006E62C1">
        <w:rPr>
          <w:sz w:val="24"/>
          <w:szCs w:val="24"/>
        </w:rPr>
        <w:t xml:space="preserve"> SNPs exceeded the 95% threshold. F</w:t>
      </w:r>
      <w:commentRangeStart w:id="27"/>
      <w:r w:rsidR="006E62C1">
        <w:rPr>
          <w:sz w:val="24"/>
          <w:szCs w:val="24"/>
        </w:rPr>
        <w:t>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w:t>
      </w:r>
      <w:r w:rsidR="0055730F">
        <w:rPr>
          <w:sz w:val="24"/>
          <w:szCs w:val="24"/>
        </w:rPr>
        <w:t xml:space="preserve"> </w:t>
      </w:r>
      <w:r w:rsidR="006E62C1">
        <w:rPr>
          <w:sz w:val="24"/>
          <w:szCs w:val="24"/>
        </w:rPr>
        <w:t xml:space="preserve"> </w:t>
      </w:r>
      <w:commentRangeEnd w:id="27"/>
      <w:r w:rsidR="00874893">
        <w:rPr>
          <w:rStyle w:val="CommentReference"/>
        </w:rPr>
        <w:commentReference w:id="27"/>
      </w:r>
      <w:commentRangeEnd w:id="26"/>
      <w:r w:rsidR="00056149">
        <w:rPr>
          <w:rStyle w:val="CommentReference"/>
        </w:rPr>
        <w:commentReference w:id="26"/>
      </w:r>
    </w:p>
    <w:p w14:paraId="34477F21" w14:textId="083F99D7"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commentRangeStart w:id="28"/>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(Figure R5</w:t>
      </w:r>
      <w:r w:rsidR="00847ADB">
        <w:rPr>
          <w:sz w:val="24"/>
          <w:szCs w:val="24"/>
        </w:rPr>
        <w:t>B</w:t>
      </w:r>
      <w:r>
        <w:rPr>
          <w:sz w:val="24"/>
          <w:szCs w:val="24"/>
        </w:rPr>
        <w:t>)</w:t>
      </w:r>
      <w:r w:rsidR="0041714B">
        <w:rPr>
          <w:sz w:val="24"/>
          <w:szCs w:val="24"/>
        </w:rPr>
        <w:t xml:space="preserve">, 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w:t>
      </w:r>
      <w:commentRangeEnd w:id="28"/>
      <w:r w:rsidR="00945345">
        <w:rPr>
          <w:rStyle w:val="CommentReference"/>
        </w:rPr>
        <w:commentReference w:id="28"/>
      </w:r>
      <w:r w:rsidR="00874893">
        <w:rPr>
          <w:sz w:val="24"/>
          <w:szCs w:val="24"/>
        </w:rPr>
        <w:t xml:space="preserve">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5733DEC0" w:rsidR="004017B8" w:rsidRDefault="0041714B" w:rsidP="00BF5072">
      <w:pPr>
        <w:spacing w:line="480" w:lineRule="auto"/>
        <w:ind w:firstLine="720"/>
        <w:rPr>
          <w:sz w:val="24"/>
          <w:szCs w:val="24"/>
        </w:rPr>
      </w:pPr>
      <w:commentRangeStart w:id="29"/>
      <w:r>
        <w:rPr>
          <w:sz w:val="24"/>
          <w:szCs w:val="24"/>
        </w:rPr>
        <w:lastRenderedPageBreak/>
        <w:t xml:space="preserve">We </w:t>
      </w:r>
      <w:r w:rsidR="00932108">
        <w:rPr>
          <w:sz w:val="24"/>
          <w:szCs w:val="24"/>
        </w:rPr>
        <w:t>next</w:t>
      </w:r>
      <w:r>
        <w:rPr>
          <w:sz w:val="24"/>
          <w:szCs w:val="24"/>
        </w:rPr>
        <w:t xml:space="preserve"> examined the top 50 SNPs </w:t>
      </w:r>
      <w:r w:rsidR="00E160CF">
        <w:rPr>
          <w:sz w:val="24"/>
          <w:szCs w:val="24"/>
        </w:rPr>
        <w:t>for each plant host (Figure R</w:t>
      </w:r>
      <w:r w:rsidR="002E0F7F">
        <w:rPr>
          <w:sz w:val="24"/>
          <w:szCs w:val="24"/>
        </w:rPr>
        <w:t>6</w:t>
      </w:r>
      <w:r w:rsidR="00A83BD4">
        <w:rPr>
          <w:sz w:val="24"/>
          <w:szCs w:val="24"/>
        </w:rPr>
        <w:t xml:space="preserve">). </w:t>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hosts</w:t>
      </w:r>
      <w:r w:rsidR="00A42B96">
        <w:rPr>
          <w:sz w:val="24"/>
          <w:szCs w:val="24"/>
        </w:rPr>
        <w:t xml:space="preserve"> but this was still only</w:t>
      </w:r>
      <w:r w:rsidR="00874893">
        <w:rPr>
          <w:sz w:val="24"/>
          <w:szCs w:val="24"/>
        </w:rPr>
        <w:t xml:space="preserve"> </w:t>
      </w:r>
      <w:r w:rsidR="002A4EC3">
        <w:rPr>
          <w:sz w:val="24"/>
          <w:szCs w:val="24"/>
        </w:rPr>
        <w:t>3-7</w:t>
      </w:r>
      <w:r w:rsidR="00874893">
        <w:rPr>
          <w:sz w:val="24"/>
          <w:szCs w:val="24"/>
        </w:rPr>
        <w:t>%</w:t>
      </w:r>
      <w:r w:rsidR="00A01E0A">
        <w:rPr>
          <w:sz w:val="24"/>
          <w:szCs w:val="24"/>
        </w:rPr>
        <w:t>.</w:t>
      </w:r>
      <w:r w:rsidR="00A42B96">
        <w:rPr>
          <w:sz w:val="24"/>
          <w:szCs w:val="24"/>
        </w:rPr>
        <w:t xml:space="preserve"> The rest of the SNPs had much smaller effects. Thus, the pathogen appears to rely on polygenic small effect loci to control virulence on the different tomato hosts.</w:t>
      </w:r>
      <w:commentRangeEnd w:id="29"/>
      <w:r w:rsidR="00945345">
        <w:rPr>
          <w:rStyle w:val="CommentReference"/>
        </w:rPr>
        <w:commentReference w:id="29"/>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4F9A830B" w:rsidR="00A83BD4" w:rsidRDefault="00A83BD4" w:rsidP="008A0D22">
      <w:pPr>
        <w:spacing w:line="480" w:lineRule="auto"/>
        <w:rPr>
          <w:sz w:val="24"/>
          <w:szCs w:val="24"/>
        </w:rPr>
      </w:pPr>
      <w:r>
        <w:rPr>
          <w:sz w:val="24"/>
          <w:szCs w:val="24"/>
        </w:rPr>
        <w:tab/>
      </w:r>
      <w:commentRangeStart w:id="30"/>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30"/>
      <w:r w:rsidR="00F23578">
        <w:rPr>
          <w:rStyle w:val="CommentReference"/>
        </w:rPr>
        <w:commentReference w:id="30"/>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w:t>
      </w:r>
      <w:proofErr w:type="gramStart"/>
      <w:r>
        <w:rPr>
          <w:sz w:val="24"/>
          <w:szCs w:val="24"/>
        </w:rPr>
        <w:t>domesticated,</w:t>
      </w:r>
      <w:proofErr w:type="gramEnd"/>
      <w:r>
        <w:rPr>
          <w:sz w:val="24"/>
          <w:szCs w:val="24"/>
        </w:rPr>
        <w:t xml:space="preserve"> wild, and domestication sensitivity. </w:t>
      </w:r>
      <w:commentRangeStart w:id="31"/>
      <w:r w:rsidR="00D70F24">
        <w:rPr>
          <w:sz w:val="24"/>
          <w:szCs w:val="24"/>
        </w:rPr>
        <w:t>Numerous</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B10">
        <w:rPr>
          <w:sz w:val="24"/>
          <w:szCs w:val="24"/>
        </w:rPr>
        <w:t>).</w:t>
      </w:r>
      <w:commentRangeEnd w:id="31"/>
      <w:r w:rsidR="00945345">
        <w:rPr>
          <w:rStyle w:val="CommentReference"/>
        </w:rPr>
        <w:commentReference w:id="31"/>
      </w:r>
    </w:p>
    <w:p w14:paraId="6E33201B" w14:textId="7FE9930F"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32"/>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3"/>
      <w:commentRangeStart w:id="34"/>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w:t>
      </w:r>
      <w:r w:rsidR="00726F6E">
        <w:rPr>
          <w:sz w:val="24"/>
          <w:szCs w:val="24"/>
        </w:rPr>
        <w:lastRenderedPageBreak/>
        <w:t xml:space="preserve">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3"/>
      <w:r w:rsidR="00A42B96">
        <w:rPr>
          <w:rStyle w:val="CommentReference"/>
        </w:rPr>
        <w:commentReference w:id="33"/>
      </w:r>
      <w:commentRangeEnd w:id="34"/>
      <w:r w:rsidR="00363E39">
        <w:rPr>
          <w:rStyle w:val="CommentReference"/>
        </w:rPr>
        <w:commentReference w:id="34"/>
      </w:r>
      <w:r w:rsidR="00861B3B">
        <w:rPr>
          <w:sz w:val="24"/>
          <w:szCs w:val="24"/>
        </w:rPr>
        <w:t xml:space="preserve">. This </w:t>
      </w:r>
      <w:r w:rsidR="00363E39">
        <w:rPr>
          <w:sz w:val="24"/>
          <w:szCs w:val="24"/>
        </w:rPr>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commentRangeEnd w:id="32"/>
      <w:r w:rsidR="00945345">
        <w:rPr>
          <w:rStyle w:val="CommentReference"/>
        </w:rPr>
        <w:commentReference w:id="32"/>
      </w:r>
    </w:p>
    <w:p w14:paraId="769E6E10" w14:textId="32AA40C2" w:rsidR="003577C8" w:rsidRPr="005D0AE7" w:rsidRDefault="003577C8" w:rsidP="008A0D22">
      <w:pPr>
        <w:spacing w:line="480" w:lineRule="auto"/>
        <w:ind w:firstLine="720"/>
        <w:rPr>
          <w:sz w:val="24"/>
          <w:szCs w:val="24"/>
        </w:rPr>
      </w:pPr>
      <w:commentRangeStart w:id="35"/>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w:t>
      </w:r>
      <w:commentRangeStart w:id="36"/>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36"/>
      <w:r w:rsidR="00A858D1">
        <w:rPr>
          <w:rStyle w:val="CommentReference"/>
        </w:rPr>
        <w:commentReference w:id="36"/>
      </w:r>
      <w:commentRangeEnd w:id="35"/>
      <w:r w:rsidR="00945345">
        <w:rPr>
          <w:rStyle w:val="CommentReference"/>
        </w:rPr>
        <w:commentReference w:id="35"/>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7"/>
      <w:r>
        <w:rPr>
          <w:sz w:val="24"/>
          <w:szCs w:val="24"/>
        </w:rPr>
        <w:t>Summary paragraph</w:t>
      </w:r>
      <w:commentRangeEnd w:id="37"/>
      <w:r>
        <w:rPr>
          <w:rStyle w:val="CommentReference"/>
        </w:rPr>
        <w:commentReference w:id="37"/>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77777777" w:rsidR="00F60FC1" w:rsidRDefault="009707C0" w:rsidP="006C499C">
      <w:pPr>
        <w:spacing w:line="480" w:lineRule="auto"/>
        <w:ind w:firstLine="720"/>
        <w:rPr>
          <w:sz w:val="24"/>
          <w:szCs w:val="24"/>
        </w:rPr>
      </w:pPr>
      <w:r>
        <w:rPr>
          <w:sz w:val="24"/>
          <w:szCs w:val="24"/>
        </w:rPr>
        <w:t xml:space="preserve">These 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r w:rsidR="007D27A1">
        <w:rPr>
          <w:sz w:val="24"/>
          <w:szCs w:val="24"/>
        </w:rPr>
        <w:t>plant-</w:t>
      </w:r>
      <w:r w:rsidR="003B75F5">
        <w:rPr>
          <w:sz w:val="24"/>
          <w:szCs w:val="24"/>
        </w:rPr>
        <w:t xml:space="preserve">pathogen interactions, it is not the primary evolutionary force in defining these 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Host domestication only significantly affected three out of the 91 isolates we studied. So while host domestication consistently reduces resistance to this </w:t>
      </w:r>
      <w:r w:rsidR="009A2734">
        <w:rPr>
          <w:sz w:val="24"/>
          <w:szCs w:val="24"/>
        </w:rPr>
        <w:t>generalist</w:t>
      </w:r>
      <w:r w:rsidR="007D27A1">
        <w:rPr>
          <w:sz w:val="24"/>
          <w:szCs w:val="24"/>
        </w:rPr>
        <w:t xml:space="preserve"> pathogen, this may be driven by </w:t>
      </w:r>
      <w:r w:rsidR="007D27A1">
        <w:rPr>
          <w:sz w:val="24"/>
          <w:szCs w:val="24"/>
        </w:rPr>
        <w:lastRenderedPageBreak/>
        <w:t>a</w:t>
      </w:r>
      <w:r w:rsidR="00AA35C0">
        <w:rPr>
          <w:sz w:val="24"/>
          <w:szCs w:val="24"/>
        </w:rPr>
        <w:t xml:space="preserve"> </w:t>
      </w:r>
      <w:r w:rsidR="007D27A1">
        <w:rPr>
          <w:sz w:val="24"/>
          <w:szCs w:val="24"/>
        </w:rPr>
        <w:t xml:space="preserve">domestication-sensitive subset of </w:t>
      </w:r>
      <w:r w:rsidR="00AA35C0" w:rsidRPr="00962D87">
        <w:rPr>
          <w:i/>
          <w:sz w:val="24"/>
          <w:szCs w:val="24"/>
        </w:rPr>
        <w:t xml:space="preserve">B. cinerea </w:t>
      </w:r>
      <w:r w:rsidR="00AA35C0">
        <w:rPr>
          <w:sz w:val="24"/>
          <w:szCs w:val="24"/>
        </w:rPr>
        <w:t xml:space="preserve">genotypes. </w:t>
      </w:r>
      <w:r w:rsidR="006C499C">
        <w:rPr>
          <w:sz w:val="24"/>
          <w:szCs w:val="24"/>
        </w:rPr>
        <w:t xml:space="preserve">Given that the </w:t>
      </w:r>
      <w:r w:rsidR="00AA35C0">
        <w:rPr>
          <w:sz w:val="24"/>
          <w:szCs w:val="24"/>
        </w:rPr>
        <w:t xml:space="preserve">effect of host domestication varies by </w:t>
      </w:r>
      <w:r w:rsidR="00AA35C0" w:rsidRPr="00962D87">
        <w:rPr>
          <w:i/>
          <w:sz w:val="24"/>
          <w:szCs w:val="24"/>
        </w:rPr>
        <w:t xml:space="preserve">B. cinerea </w:t>
      </w:r>
      <w:r w:rsidR="00AA35C0">
        <w:rPr>
          <w:sz w:val="24"/>
          <w:szCs w:val="24"/>
        </w:rPr>
        <w:t xml:space="preserve">genotype, </w:t>
      </w:r>
      <w:r w:rsidR="006C499C">
        <w:rPr>
          <w:sz w:val="24"/>
          <w:szCs w:val="24"/>
        </w:rPr>
        <w:t xml:space="preserve">this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3DFEEC6C" w:rsidR="005A4150" w:rsidRDefault="00962D87" w:rsidP="006C499C">
      <w:pPr>
        <w:spacing w:line="480" w:lineRule="auto"/>
        <w:ind w:firstLine="720"/>
        <w:rPr>
          <w:sz w:val="24"/>
          <w:szCs w:val="24"/>
        </w:rPr>
      </w:pPr>
      <w:r>
        <w:rPr>
          <w:sz w:val="24"/>
          <w:szCs w:val="24"/>
        </w:rPr>
        <w:t xml:space="preserve">Host domestication is theoretically expected to decrease resistance to pathogens as alleles are lost in the domestication bottleneck. This assumption is supported in studies of specialist pathogens </w:t>
      </w:r>
      <w:commentRangeStart w:id="38"/>
      <w:r>
        <w:rPr>
          <w:sz w:val="24"/>
          <w:szCs w:val="24"/>
        </w:rPr>
        <w:t>[GIVE EXAMPLES]</w:t>
      </w:r>
      <w:commentRangeEnd w:id="38"/>
      <w:r w:rsidR="006C499C">
        <w:rPr>
          <w:rStyle w:val="CommentReference"/>
        </w:rPr>
        <w:commentReference w:id="38"/>
      </w:r>
      <w:r>
        <w:rPr>
          <w:sz w:val="24"/>
          <w:szCs w:val="24"/>
        </w:rPr>
        <w:t xml:space="preserve">.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t>
      </w:r>
      <w:r w:rsidR="006C499C">
        <w:rPr>
          <w:sz w:val="24"/>
          <w:szCs w:val="24"/>
        </w:rPr>
        <w:t>between</w:t>
      </w:r>
      <w:r w:rsidR="00AA35C0">
        <w:rPr>
          <w:sz w:val="24"/>
          <w:szCs w:val="24"/>
        </w:rPr>
        <w:t xml:space="preserve"> domesticated lines, as new combinations of alleles are mixed together.</w:t>
      </w:r>
    </w:p>
    <w:p w14:paraId="48026B66" w14:textId="134CDC36" w:rsidR="00256FFF" w:rsidRPr="00E773AB" w:rsidRDefault="00256FFF" w:rsidP="006C499C">
      <w:pPr>
        <w:spacing w:line="480" w:lineRule="auto"/>
        <w:ind w:firstLine="720"/>
        <w:rPr>
          <w:sz w:val="24"/>
          <w:szCs w:val="24"/>
        </w:rPr>
      </w:pPr>
      <w:r>
        <w:rPr>
          <w:sz w:val="24"/>
          <w:szCs w:val="24"/>
        </w:rPr>
        <w:t>These patterns, of mild increase in resistance to B. cinerea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7614B4F2"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This is in</w:t>
      </w:r>
      <w:r w:rsidR="00A74267">
        <w:rPr>
          <w:sz w:val="24"/>
          <w:szCs w:val="24"/>
        </w:rPr>
        <w:t xml:space="preserve"> sharp</w:t>
      </w:r>
      <w:bookmarkStart w:id="39" w:name="_GoBack"/>
      <w:bookmarkEnd w:id="39"/>
      <w:r>
        <w:rPr>
          <w:sz w:val="24"/>
          <w:szCs w:val="24"/>
        </w:rPr>
        <w:t xml:space="preserve"> contrast to the few genes involved in </w:t>
      </w:r>
      <w:commentRangeStart w:id="40"/>
      <w:r>
        <w:rPr>
          <w:sz w:val="24"/>
          <w:szCs w:val="24"/>
        </w:rPr>
        <w:t>quantitative</w:t>
      </w:r>
      <w:commentRangeEnd w:id="40"/>
      <w:r w:rsidR="00F60FC1">
        <w:rPr>
          <w:rStyle w:val="CommentReference"/>
        </w:rPr>
        <w:commentReference w:id="40"/>
      </w:r>
      <w:r>
        <w:rPr>
          <w:sz w:val="24"/>
          <w:szCs w:val="24"/>
        </w:rPr>
        <w:t xml:space="preserve"> virulence of </w:t>
      </w:r>
      <w:r>
        <w:rPr>
          <w:sz w:val="24"/>
          <w:szCs w:val="24"/>
        </w:rPr>
        <w:lastRenderedPageBreak/>
        <w:t xml:space="preserve">specialist pathogens. Further studies can explore the </w:t>
      </w:r>
      <w:r w:rsidR="00F60FC1">
        <w:rPr>
          <w:sz w:val="24"/>
          <w:szCs w:val="24"/>
        </w:rPr>
        <w:t>number and effect sizes of SNPs contributing</w:t>
      </w:r>
      <w:r>
        <w:rPr>
          <w:sz w:val="24"/>
          <w:szCs w:val="24"/>
        </w:rPr>
        <w:t xml:space="preserve"> to virulence of </w:t>
      </w:r>
      <w:r w:rsidRPr="00A63631">
        <w:rPr>
          <w:i/>
          <w:sz w:val="24"/>
          <w:szCs w:val="24"/>
        </w:rPr>
        <w:t>B. cinerea</w:t>
      </w:r>
      <w:r>
        <w:rPr>
          <w:sz w:val="24"/>
          <w:szCs w:val="24"/>
        </w:rPr>
        <w:t xml:space="preserve"> on other hosts.</w:t>
      </w:r>
      <w:r w:rsidR="009A5C4F">
        <w:rPr>
          <w:sz w:val="24"/>
          <w:szCs w:val="24"/>
        </w:rPr>
        <w:t xml:space="preserve"> </w:t>
      </w:r>
    </w:p>
    <w:p w14:paraId="7DD85E3E" w14:textId="67E8B1DC"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w:t>
      </w:r>
      <w:r w:rsidR="00F60FC1">
        <w:rPr>
          <w:sz w:val="24"/>
          <w:szCs w:val="24"/>
        </w:rPr>
        <w:t>ype, and virulence genetics vary</w:t>
      </w:r>
      <w:r>
        <w:rPr>
          <w:sz w:val="24"/>
          <w:szCs w:val="24"/>
        </w:rPr>
        <w:t xml:space="preserve">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41"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42"/>
      <w:r w:rsidR="009A2734">
        <w:rPr>
          <w:sz w:val="24"/>
          <w:szCs w:val="24"/>
        </w:rPr>
        <w:t>[XX more here</w:t>
      </w:r>
      <w:commentRangeEnd w:id="42"/>
      <w:r w:rsidR="00F60FC1">
        <w:rPr>
          <w:rStyle w:val="CommentReference"/>
        </w:rPr>
        <w:commentReference w:id="42"/>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 xml:space="preserve">We did not </w:t>
      </w:r>
      <w:r w:rsidR="009A5C4F">
        <w:rPr>
          <w:sz w:val="24"/>
          <w:szCs w:val="24"/>
        </w:rPr>
        <w:lastRenderedPageBreak/>
        <w:t>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43"/>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43"/>
      <w:r w:rsidR="000328E8">
        <w:rPr>
          <w:rStyle w:val="CommentReference"/>
        </w:rPr>
        <w:commentReference w:id="43"/>
      </w:r>
      <w:r w:rsidR="00765216">
        <w:rPr>
          <w:sz w:val="24"/>
          <w:szCs w:val="24"/>
        </w:rPr>
        <w:t xml:space="preserve">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44" w:author="Daniel Kliebenstein" w:date="2017-01-24T13:36:00Z"/>
          <w:sz w:val="24"/>
          <w:szCs w:val="24"/>
        </w:rPr>
      </w:pPr>
    </w:p>
    <w:p w14:paraId="513357BF" w14:textId="01DBD954" w:rsidR="00A42B96" w:rsidRPr="00A42B96" w:rsidRDefault="00A42B96" w:rsidP="00660515">
      <w:pPr>
        <w:spacing w:line="480" w:lineRule="auto"/>
        <w:rPr>
          <w:b/>
          <w:sz w:val="24"/>
          <w:szCs w:val="24"/>
          <w:rPrChange w:id="45" w:author="Daniel Kliebenstein" w:date="2017-01-24T13:37:00Z">
            <w:rPr>
              <w:sz w:val="24"/>
              <w:szCs w:val="24"/>
            </w:rPr>
          </w:rPrChange>
        </w:rPr>
      </w:pPr>
      <w:ins w:id="46"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r w:rsidR="00D20BC2">
        <w:rPr>
          <w:i/>
          <w:sz w:val="24"/>
          <w:szCs w:val="24"/>
        </w:rPr>
        <w:t>Botrytis cinerea</w:t>
      </w:r>
      <w:r w:rsidR="00D20BC2">
        <w:rPr>
          <w:sz w:val="24"/>
          <w:szCs w:val="24"/>
        </w:rPr>
        <w:t xml:space="preserve"> lesion area.</w:t>
      </w:r>
      <w:proofErr w:type="gramEnd"/>
      <w:r w:rsidR="00D20BC2">
        <w:rPr>
          <w:sz w:val="24"/>
          <w:szCs w:val="24"/>
        </w:rPr>
        <w:t xml:space="preserve">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w:t>
      </w:r>
      <w:r>
        <w:rPr>
          <w:sz w:val="24"/>
          <w:szCs w:val="24"/>
        </w:rPr>
        <w:lastRenderedPageBreak/>
        <w:t>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71E6B3E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4CABA8B6"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individual-host phenotypes and domestication phenotypes.</w:t>
      </w:r>
      <w:proofErr w:type="gramEnd"/>
      <w:r>
        <w:rPr>
          <w:sz w:val="24"/>
          <w:szCs w:val="24"/>
        </w:rPr>
        <w:t xml:space="preserve"> </w:t>
      </w:r>
      <w:r w:rsidR="00817719">
        <w:rPr>
          <w:sz w:val="24"/>
          <w:szCs w:val="24"/>
        </w:rPr>
        <w:t xml:space="preserve">A: Count of SNPS &gt; 99% in common across individual plant hosts. B: Count of SNPs &gt;99% across phenotype categories. Pale green is X, lilac is X, </w:t>
      </w:r>
      <w:proofErr w:type="gramStart"/>
      <w:r w:rsidR="00817719">
        <w:rPr>
          <w:sz w:val="24"/>
          <w:szCs w:val="24"/>
        </w:rPr>
        <w:t>turquoise</w:t>
      </w:r>
      <w:proofErr w:type="gramEnd"/>
      <w:r w:rsidR="00817719">
        <w:rPr>
          <w:sz w:val="24"/>
          <w:szCs w:val="24"/>
        </w:rPr>
        <w:t xml:space="preserv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lastRenderedPageBreak/>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2"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3" w:author="Nicole Soltis" w:date="2017-04-11T21:49:00Z" w:initials="NS">
    <w:p w14:paraId="43BACA69" w14:textId="7D49928B" w:rsidR="00DC717E" w:rsidRDefault="00DC717E">
      <w:pPr>
        <w:pStyle w:val="CommentText"/>
      </w:pPr>
      <w:r>
        <w:rPr>
          <w:rStyle w:val="CommentReference"/>
        </w:rPr>
        <w:annotationRef/>
      </w:r>
      <w:proofErr w:type="gramStart"/>
      <w:r>
        <w:t>cite</w:t>
      </w:r>
      <w:proofErr w:type="gramEnd"/>
    </w:p>
  </w:comment>
  <w:comment w:id="7"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8"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4"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5"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0"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1"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12" w:author="Nicole Soltis" w:date="2017-04-11T22:00:00Z" w:initials="NS">
    <w:p w14:paraId="33D2F793" w14:textId="5D5211C4" w:rsidR="00322463" w:rsidRDefault="00322463">
      <w:pPr>
        <w:pStyle w:val="CommentText"/>
      </w:pPr>
      <w:r>
        <w:rPr>
          <w:rStyle w:val="CommentReference"/>
        </w:rPr>
        <w:annotationRef/>
      </w:r>
      <w:proofErr w:type="gramStart"/>
      <w:r>
        <w:t>cite</w:t>
      </w:r>
      <w:proofErr w:type="gramEnd"/>
    </w:p>
  </w:comment>
  <w:comment w:id="13" w:author="Nicole Soltis" w:date="2017-04-11T22:01:00Z" w:initials="NS">
    <w:p w14:paraId="266E2D69" w14:textId="48D4B213" w:rsidR="007F081A" w:rsidRDefault="007F081A">
      <w:pPr>
        <w:pStyle w:val="CommentText"/>
      </w:pPr>
      <w:r>
        <w:rPr>
          <w:rStyle w:val="CommentReference"/>
        </w:rPr>
        <w:annotationRef/>
      </w:r>
      <w:proofErr w:type="gramStart"/>
      <w:r>
        <w:t>add</w:t>
      </w:r>
      <w:proofErr w:type="gramEnd"/>
      <w:r>
        <w:t xml:space="preserve"> a sentence: any specific summaries of which genes?</w:t>
      </w:r>
    </w:p>
  </w:comment>
  <w:comment w:id="14" w:author="Daniel Kliebenstein" w:date="2017-03-29T11:34:00Z" w:initials="DK">
    <w:p w14:paraId="34FB81C7" w14:textId="5E38C79D" w:rsidR="003D26E5" w:rsidRDefault="003D26E5">
      <w:pPr>
        <w:pStyle w:val="CommentText"/>
      </w:pPr>
      <w:r>
        <w:rPr>
          <w:rStyle w:val="CommentReference"/>
        </w:rPr>
        <w:annotationRef/>
      </w:r>
      <w:proofErr w:type="gramStart"/>
      <w:r>
        <w:t>vague</w:t>
      </w:r>
      <w:proofErr w:type="gramEnd"/>
    </w:p>
  </w:comment>
  <w:comment w:id="16"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17"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19"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20" w:author="Daniel Kliebenstein" w:date="2017-01-13T13:53:00Z" w:initials="DK">
    <w:p w14:paraId="43434EAE" w14:textId="2AB72FB8" w:rsidR="00A54829" w:rsidRDefault="00A54829">
      <w:pPr>
        <w:pStyle w:val="CommentText"/>
      </w:pPr>
      <w:r>
        <w:rPr>
          <w:rStyle w:val="CommentReference"/>
        </w:rPr>
        <w:annotationRef/>
      </w:r>
      <w:r>
        <w:t>Citations</w:t>
      </w:r>
    </w:p>
  </w:comment>
  <w:comment w:id="21" w:author="Nicole Soltis" w:date="2017-03-22T14:52:00Z" w:initials="NS">
    <w:p w14:paraId="7ED46E48" w14:textId="31283F19" w:rsidR="002E0F7F" w:rsidRDefault="002E0F7F">
      <w:pPr>
        <w:pStyle w:val="CommentText"/>
      </w:pPr>
      <w:r>
        <w:rPr>
          <w:rStyle w:val="CommentReference"/>
        </w:rPr>
        <w:annotationRef/>
      </w:r>
      <w:r>
        <w:t>Still need to add</w:t>
      </w:r>
    </w:p>
  </w:comment>
  <w:comment w:id="22"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23" w:author="Nicole Soltis" w:date="2017-03-27T11:32:00Z" w:initials="NS">
    <w:p w14:paraId="76013067" w14:textId="0576DB52" w:rsidR="00FD66D5" w:rsidRDefault="00FD66D5">
      <w:pPr>
        <w:pStyle w:val="CommentText"/>
      </w:pPr>
      <w:r>
        <w:rPr>
          <w:rStyle w:val="CommentReference"/>
        </w:rPr>
        <w:annotationRef/>
      </w:r>
      <w:proofErr w:type="gramStart"/>
      <w:r>
        <w:t>fix</w:t>
      </w:r>
      <w:proofErr w:type="gramEnd"/>
      <w:r>
        <w:t xml:space="preserve"> this</w:t>
      </w:r>
    </w:p>
  </w:comment>
  <w:comment w:id="24"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25" w:author="Nicole Soltis" w:date="2017-04-21T13:17:00Z" w:initials="NS">
    <w:p w14:paraId="067AC5A9" w14:textId="36616DB6" w:rsidR="0055730F" w:rsidRDefault="0055730F">
      <w:pPr>
        <w:pStyle w:val="CommentText"/>
      </w:pPr>
      <w:r>
        <w:rPr>
          <w:rStyle w:val="CommentReference"/>
        </w:rPr>
        <w:annotationRef/>
      </w:r>
      <w:r>
        <w:t>Check this, LA2176</w:t>
      </w:r>
    </w:p>
  </w:comment>
  <w:comment w:id="27" w:author="Nicole Soltis" w:date="2017-03-20T15:16:00Z" w:initials="NS">
    <w:p w14:paraId="1B9E9D77" w14:textId="15E1123C" w:rsidR="00874893" w:rsidRDefault="00874893">
      <w:pPr>
        <w:pStyle w:val="CommentText"/>
      </w:pPr>
      <w:r>
        <w:rPr>
          <w:rStyle w:val="CommentReference"/>
        </w:rPr>
        <w:annotationRef/>
      </w:r>
      <w:r>
        <w:t>Why would this be?</w:t>
      </w:r>
    </w:p>
  </w:comment>
  <w:comment w:id="26" w:author="Nicole Soltis" w:date="2017-04-21T13:16:00Z" w:initials="NS">
    <w:p w14:paraId="3257F8CC" w14:textId="5848C4F2" w:rsidR="00056149" w:rsidRDefault="00056149">
      <w:pPr>
        <w:pStyle w:val="CommentText"/>
      </w:pPr>
      <w:r>
        <w:rPr>
          <w:rStyle w:val="CommentReference"/>
        </w:rPr>
        <w:annotationRef/>
      </w:r>
      <w:r>
        <w:t>Fill in</w:t>
      </w:r>
      <w:r w:rsidR="0055730F">
        <w:t xml:space="preserve"> – old content</w:t>
      </w:r>
    </w:p>
  </w:comment>
  <w:comment w:id="28" w:author="Nicole Soltis" w:date="2017-04-21T11:42:00Z" w:initials="NS">
    <w:p w14:paraId="3E64CFA4" w14:textId="7F48B4C3" w:rsidR="00945345" w:rsidRDefault="00945345">
      <w:pPr>
        <w:pStyle w:val="CommentText"/>
      </w:pPr>
      <w:r>
        <w:rPr>
          <w:rStyle w:val="CommentReference"/>
        </w:rPr>
        <w:annotationRef/>
      </w:r>
      <w:r>
        <w:t>Fill in</w:t>
      </w:r>
    </w:p>
  </w:comment>
  <w:comment w:id="29" w:author="Nicole Soltis" w:date="2017-04-21T11:42:00Z" w:initials="NS">
    <w:p w14:paraId="234B9793" w14:textId="75015804" w:rsidR="00945345" w:rsidRDefault="00945345">
      <w:pPr>
        <w:pStyle w:val="CommentText"/>
      </w:pPr>
      <w:r>
        <w:rPr>
          <w:rStyle w:val="CommentReference"/>
        </w:rPr>
        <w:annotationRef/>
      </w:r>
      <w:r>
        <w:t>Fill in</w:t>
      </w:r>
    </w:p>
  </w:comment>
  <w:comment w:id="30"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31" w:author="Nicole Soltis" w:date="2017-04-21T11:43:00Z" w:initials="NS">
    <w:p w14:paraId="75A224EB" w14:textId="53BD6388" w:rsidR="00945345" w:rsidRDefault="00945345">
      <w:pPr>
        <w:pStyle w:val="CommentText"/>
      </w:pPr>
      <w:r>
        <w:rPr>
          <w:rStyle w:val="CommentReference"/>
        </w:rPr>
        <w:annotationRef/>
      </w:r>
      <w:r>
        <w:t>Fill in</w:t>
      </w:r>
    </w:p>
  </w:comment>
  <w:comment w:id="33"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34"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32" w:author="Nicole Soltis" w:date="2017-04-21T11:43:00Z" w:initials="NS">
    <w:p w14:paraId="23A0402F" w14:textId="3DAF5A01" w:rsidR="00945345" w:rsidRDefault="00945345">
      <w:pPr>
        <w:pStyle w:val="CommentText"/>
      </w:pPr>
      <w:r>
        <w:rPr>
          <w:rStyle w:val="CommentReference"/>
        </w:rPr>
        <w:annotationRef/>
      </w:r>
      <w:r>
        <w:t>Fill in</w:t>
      </w:r>
    </w:p>
  </w:comment>
  <w:comment w:id="36"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35" w:author="Nicole Soltis" w:date="2017-04-21T11:43:00Z" w:initials="NS">
    <w:p w14:paraId="0B1C9D00" w14:textId="3894B9DD" w:rsidR="00945345" w:rsidRDefault="00945345">
      <w:pPr>
        <w:pStyle w:val="CommentText"/>
      </w:pPr>
      <w:r>
        <w:rPr>
          <w:rStyle w:val="CommentReference"/>
        </w:rPr>
        <w:annotationRef/>
      </w:r>
      <w:r>
        <w:t>Fill in</w:t>
      </w:r>
    </w:p>
  </w:comment>
  <w:comment w:id="37"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8" w:author="Nicole Soltis" w:date="2017-04-06T16:59:00Z" w:initials="NS">
    <w:p w14:paraId="2AB92D67" w14:textId="2E2D8CB5" w:rsidR="006C499C" w:rsidRDefault="006C499C">
      <w:pPr>
        <w:pStyle w:val="CommentText"/>
      </w:pPr>
      <w:r>
        <w:rPr>
          <w:rStyle w:val="CommentReference"/>
        </w:rPr>
        <w:annotationRef/>
      </w:r>
      <w:r>
        <w:t>Add here</w:t>
      </w:r>
    </w:p>
  </w:comment>
  <w:comment w:id="40" w:author="Nicole Soltis" w:date="2017-04-28T14:02:00Z" w:initials="NS">
    <w:p w14:paraId="22CBECEC" w14:textId="1690C6EE" w:rsidR="00F60FC1" w:rsidRDefault="00F60FC1">
      <w:pPr>
        <w:pStyle w:val="CommentText"/>
      </w:pPr>
      <w:r>
        <w:rPr>
          <w:rStyle w:val="CommentReference"/>
        </w:rPr>
        <w:annotationRef/>
      </w:r>
      <w:proofErr w:type="gramStart"/>
      <w:r>
        <w:t>qualitative</w:t>
      </w:r>
      <w:proofErr w:type="gramEnd"/>
      <w:r>
        <w:t>?</w:t>
      </w:r>
    </w:p>
  </w:comment>
  <w:comment w:id="42" w:author="Nicole Soltis" w:date="2017-04-28T13:56:00Z" w:initials="NS">
    <w:p w14:paraId="0D2CB5A9" w14:textId="50040734" w:rsidR="00F60FC1" w:rsidRDefault="00F60FC1">
      <w:pPr>
        <w:pStyle w:val="CommentText"/>
      </w:pPr>
      <w:r>
        <w:rPr>
          <w:rStyle w:val="CommentReference"/>
        </w:rPr>
        <w:annotationRef/>
      </w:r>
      <w:r>
        <w:t>Add here</w:t>
      </w:r>
    </w:p>
  </w:comment>
  <w:comment w:id="43" w:author="Nicole Soltis" w:date="2017-04-28T13:51:00Z" w:initials="NS">
    <w:p w14:paraId="2DE489BA" w14:textId="78F8C198" w:rsidR="000328E8" w:rsidRDefault="000328E8">
      <w:pPr>
        <w:pStyle w:val="CommentText"/>
      </w:pPr>
      <w:r>
        <w:rPr>
          <w:rStyle w:val="CommentReference"/>
        </w:rPr>
        <w:annotationRef/>
      </w:r>
      <w:proofErr w:type="gramStart"/>
      <w:r>
        <w:t>cite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328E8"/>
    <w:rsid w:val="0005030A"/>
    <w:rsid w:val="00056149"/>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B6FE3"/>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836F6"/>
    <w:rsid w:val="00494935"/>
    <w:rsid w:val="00496F1B"/>
    <w:rsid w:val="004A0709"/>
    <w:rsid w:val="004A0949"/>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39D5"/>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27A1"/>
    <w:rsid w:val="007D5372"/>
    <w:rsid w:val="007E6E79"/>
    <w:rsid w:val="007E79A7"/>
    <w:rsid w:val="007E7F8C"/>
    <w:rsid w:val="007F081A"/>
    <w:rsid w:val="0080338F"/>
    <w:rsid w:val="00805627"/>
    <w:rsid w:val="0081033D"/>
    <w:rsid w:val="00813877"/>
    <w:rsid w:val="00814B0C"/>
    <w:rsid w:val="00814D01"/>
    <w:rsid w:val="00817719"/>
    <w:rsid w:val="0083221A"/>
    <w:rsid w:val="00847ADB"/>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707C0"/>
    <w:rsid w:val="00973F87"/>
    <w:rsid w:val="0097612A"/>
    <w:rsid w:val="009814E1"/>
    <w:rsid w:val="009836A7"/>
    <w:rsid w:val="00990316"/>
    <w:rsid w:val="00991CA3"/>
    <w:rsid w:val="00992198"/>
    <w:rsid w:val="009A1C3C"/>
    <w:rsid w:val="009A2734"/>
    <w:rsid w:val="009A5C4F"/>
    <w:rsid w:val="009B513C"/>
    <w:rsid w:val="009C1F7C"/>
    <w:rsid w:val="009C5523"/>
    <w:rsid w:val="009D15A4"/>
    <w:rsid w:val="009D2C6D"/>
    <w:rsid w:val="009D2FF2"/>
    <w:rsid w:val="009E4B5D"/>
    <w:rsid w:val="009E7104"/>
    <w:rsid w:val="009F0A62"/>
    <w:rsid w:val="009F588B"/>
    <w:rsid w:val="009F6E05"/>
    <w:rsid w:val="00A01E0A"/>
    <w:rsid w:val="00A172E3"/>
    <w:rsid w:val="00A205B0"/>
    <w:rsid w:val="00A254EC"/>
    <w:rsid w:val="00A27AF5"/>
    <w:rsid w:val="00A333FE"/>
    <w:rsid w:val="00A33EE1"/>
    <w:rsid w:val="00A42B96"/>
    <w:rsid w:val="00A450A5"/>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4878"/>
    <w:rsid w:val="00B877F0"/>
    <w:rsid w:val="00B95FEA"/>
    <w:rsid w:val="00BA2199"/>
    <w:rsid w:val="00BB47CC"/>
    <w:rsid w:val="00BC5308"/>
    <w:rsid w:val="00BD1A5C"/>
    <w:rsid w:val="00BD23BD"/>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1350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C717E"/>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437E9"/>
    <w:rsid w:val="00E5522B"/>
    <w:rsid w:val="00E60E08"/>
    <w:rsid w:val="00E74B88"/>
    <w:rsid w:val="00E76177"/>
    <w:rsid w:val="00E764BE"/>
    <w:rsid w:val="00E773AB"/>
    <w:rsid w:val="00E77651"/>
    <w:rsid w:val="00E8258B"/>
    <w:rsid w:val="00EA1576"/>
    <w:rsid w:val="00EA185C"/>
    <w:rsid w:val="00EA5F5F"/>
    <w:rsid w:val="00EA6EAB"/>
    <w:rsid w:val="00EA787B"/>
    <w:rsid w:val="00EC0F3E"/>
    <w:rsid w:val="00EE114F"/>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7335"/>
    <w:rsid w:val="00F803BC"/>
    <w:rsid w:val="00F80AFB"/>
    <w:rsid w:val="00F86FAA"/>
    <w:rsid w:val="00F919BB"/>
    <w:rsid w:val="00F947B4"/>
    <w:rsid w:val="00F94C1A"/>
    <w:rsid w:val="00FD28D9"/>
    <w:rsid w:val="00FD3221"/>
    <w:rsid w:val="00FD66D5"/>
    <w:rsid w:val="00FD6C46"/>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F3926-A589-4514-AF20-9870D5C7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24</Pages>
  <Words>8712</Words>
  <Characters>49664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19</cp:revision>
  <dcterms:created xsi:type="dcterms:W3CDTF">2017-04-06T23:18:00Z</dcterms:created>
  <dcterms:modified xsi:type="dcterms:W3CDTF">2017-04-28T22:01:00Z</dcterms:modified>
</cp:coreProperties>
</file>