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commentRangeStart w:id="1"/>
      <w:r w:rsidR="00EA6EAB" w:rsidRPr="00E764BE">
        <w:rPr>
          <w:sz w:val="24"/>
          <w:szCs w:val="24"/>
        </w:rPr>
        <w:t xml:space="preserve">allows </w:t>
      </w:r>
      <w:commentRangeEnd w:id="1"/>
      <w:r w:rsidR="00B1466E">
        <w:rPr>
          <w:rStyle w:val="CommentReference"/>
        </w:rPr>
        <w:commentReference w:id="1"/>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743CA581"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r w:rsidR="00E8258B" w:rsidRPr="00E764BE">
        <w:rPr>
          <w:sz w:val="24"/>
          <w:szCs w:val="24"/>
        </w:rPr>
        <w:lastRenderedPageBreak/>
        <w:t xml:space="preserve">There are no known naturally variable large-effect resistance loci for plant defense against generalist pathogens such as </w:t>
      </w:r>
      <w:commentRangeStart w:id="2"/>
      <w:commentRangeStart w:id="3"/>
      <w:r w:rsidR="00E8258B" w:rsidRPr="00436F19">
        <w:rPr>
          <w:i/>
          <w:sz w:val="24"/>
          <w:szCs w:val="24"/>
        </w:rPr>
        <w:t>Botrytis cinerea</w:t>
      </w:r>
      <w:commentRangeEnd w:id="2"/>
      <w:r w:rsidR="00E8258B" w:rsidRPr="00436F19">
        <w:rPr>
          <w:rStyle w:val="CommentReference"/>
          <w:sz w:val="24"/>
          <w:szCs w:val="24"/>
        </w:rPr>
        <w:commentReference w:id="2"/>
      </w:r>
      <w:commentRangeEnd w:id="3"/>
      <w:r w:rsidR="000A4A33">
        <w:rPr>
          <w:rStyle w:val="CommentReference"/>
        </w:rPr>
        <w:commentReference w:id="3"/>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4"/>
      <w:commentRangeStart w:id="5"/>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4"/>
      <w:r w:rsidR="008F425E" w:rsidRPr="00436F19">
        <w:rPr>
          <w:rStyle w:val="CommentReference"/>
          <w:sz w:val="24"/>
          <w:szCs w:val="24"/>
        </w:rPr>
        <w:commentReference w:id="4"/>
      </w:r>
      <w:commentRangeEnd w:id="5"/>
      <w:r w:rsidR="000A4A33">
        <w:rPr>
          <w:rStyle w:val="CommentReference"/>
        </w:rPr>
        <w:commentReference w:id="5"/>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genetics within the infecting pathogen, but very little is known about the </w:t>
      </w:r>
      <w:r w:rsidR="008F425E" w:rsidRPr="00436F19">
        <w:rPr>
          <w:sz w:val="24"/>
          <w:szCs w:val="24"/>
        </w:rPr>
        <w:t>genetic variation of virulence loci within generalist pathogens. 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527F25AB"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BB47CC">
        <w:rPr>
          <w:sz w:val="24"/>
          <w:szCs w:val="24"/>
        </w:rPr>
        <w:t>In response to</w:t>
      </w:r>
      <w:r w:rsidR="00FE7C80">
        <w:rPr>
          <w:sz w:val="24"/>
          <w:szCs w:val="24"/>
        </w:rPr>
        <w:t xml:space="preserve"> specialist pathogens, d</w:t>
      </w:r>
      <w:r>
        <w:rPr>
          <w:sz w:val="24"/>
          <w:szCs w:val="24"/>
        </w:rPr>
        <w:t>omesticated</w:t>
      </w:r>
      <w:r w:rsidR="00BB47CC">
        <w:rPr>
          <w:sz w:val="24"/>
          <w:szCs w:val="24"/>
        </w:rPr>
        <w:t xml:space="preserve"> plant</w:t>
      </w:r>
      <w:r>
        <w:rPr>
          <w:sz w:val="24"/>
          <w:szCs w:val="24"/>
        </w:rPr>
        <w:t xml:space="preserve"> varieties are typically more sensitive than their wild relatives.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domesticated hosts as well. However, we have less information about how domestication of </w:t>
      </w:r>
      <w:r w:rsidR="003E5F69">
        <w:rPr>
          <w:sz w:val="24"/>
          <w:szCs w:val="24"/>
        </w:rPr>
        <w:lastRenderedPageBreak/>
        <w:t>hosts affects generalist pathogens. It is possible that generalist pathogens are relatively insensitive to domestication and these genetic bottlenecks.</w:t>
      </w:r>
      <w:r w:rsidR="009836A7" w:rsidRPr="00471076">
        <w:rPr>
          <w:sz w:val="24"/>
          <w:szCs w:val="24"/>
        </w:rPr>
        <w:t xml:space="preserve"> </w:t>
      </w:r>
    </w:p>
    <w:p w14:paraId="5699A04E" w14:textId="34FD2EF6" w:rsidR="00A54829" w:rsidRDefault="009F588B" w:rsidP="00716067">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DF2306">
        <w:rPr>
          <w:sz w:val="24"/>
          <w:szCs w:val="24"/>
        </w:rPr>
        <w:t>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w:t>
      </w:r>
      <w:r w:rsidR="00DF2306">
        <w:rPr>
          <w:sz w:val="24"/>
          <w:szCs w:val="24"/>
        </w:rPr>
        <w:t xml:space="preserve">examine the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6"/>
      <w:commentRangeStart w:id="7"/>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 xml:space="preserve">More recently, natural variation in VELVET, a </w:t>
      </w:r>
      <w:r w:rsidR="00632015">
        <w:rPr>
          <w:sz w:val="24"/>
          <w:szCs w:val="24"/>
        </w:rPr>
        <w:t>development and secondary metabolism</w:t>
      </w:r>
      <w:r w:rsidR="00750F0F">
        <w:rPr>
          <w:sz w:val="24"/>
          <w:szCs w:val="24"/>
        </w:rPr>
        <w:t xml:space="preserve"> gene</w:t>
      </w:r>
      <w:r w:rsidR="00E437E9">
        <w:rPr>
          <w:sz w:val="24"/>
          <w:szCs w:val="24"/>
        </w:rPr>
        <w:t>,</w:t>
      </w:r>
      <w:bookmarkStart w:id="8" w:name="_GoBack"/>
      <w:bookmarkEnd w:id="8"/>
      <w:r w:rsidR="00D3121D" w:rsidRPr="00DA7FA8">
        <w:rPr>
          <w:sz w:val="24"/>
          <w:szCs w:val="24"/>
        </w:rPr>
        <w:t xml:space="preserve"> was </w:t>
      </w:r>
      <w:r w:rsidR="00D3121D" w:rsidRPr="00DA7FA8">
        <w:rPr>
          <w:sz w:val="24"/>
          <w:szCs w:val="24"/>
        </w:rPr>
        <w:lastRenderedPageBreak/>
        <w:t>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p>
    <w:p w14:paraId="28E69A94" w14:textId="5EA7A4EE" w:rsidR="00D3121D" w:rsidRPr="00DA7FA8" w:rsidRDefault="00750F0F" w:rsidP="00D3121D">
      <w:pPr>
        <w:spacing w:line="480" w:lineRule="auto"/>
        <w:ind w:firstLine="720"/>
        <w:rPr>
          <w:sz w:val="24"/>
          <w:szCs w:val="24"/>
        </w:rPr>
      </w:pPr>
      <w:r w:rsidRPr="00796342">
        <w:rPr>
          <w:sz w:val="24"/>
          <w:szCs w:val="24"/>
        </w:rPr>
        <w:t xml:space="preserve">Genome-wide variation in </w:t>
      </w:r>
      <w:r w:rsidRPr="00796342">
        <w:rPr>
          <w:i/>
          <w:sz w:val="24"/>
          <w:szCs w:val="24"/>
        </w:rPr>
        <w:t xml:space="preserve">Botrytis </w:t>
      </w:r>
      <w:r w:rsidR="00796342" w:rsidRPr="00796342">
        <w:rPr>
          <w:sz w:val="24"/>
          <w:szCs w:val="24"/>
        </w:rPr>
        <w:t>is also high; at XX% it is more variable than previously studied pathogens, and</w:t>
      </w:r>
      <w:ins w:id="9" w:author="Nicole Soltis" w:date="2017-01-18T15:51:00Z">
        <w:r w:rsidRPr="00796342">
          <w:rPr>
            <w:sz w:val="24"/>
            <w:szCs w:val="24"/>
          </w:rPr>
          <w:t xml:space="preserve"> on par with XXXX (</w:t>
        </w:r>
        <w:commentRangeStart w:id="10"/>
        <w:commentRangeStart w:id="11"/>
        <w:r w:rsidRPr="00796342">
          <w:rPr>
            <w:sz w:val="24"/>
            <w:szCs w:val="24"/>
          </w:rPr>
          <w:t>CITATION</w:t>
        </w:r>
      </w:ins>
      <w:commentRangeEnd w:id="10"/>
      <w:r w:rsidR="00A42B96">
        <w:rPr>
          <w:rStyle w:val="CommentReference"/>
        </w:rPr>
        <w:commentReference w:id="10"/>
      </w:r>
      <w:commentRangeEnd w:id="11"/>
      <w:r w:rsidR="000A4A33">
        <w:rPr>
          <w:rStyle w:val="CommentReference"/>
        </w:rPr>
        <w:commentReference w:id="11"/>
      </w:r>
      <w:ins w:id="12" w:author="Nicole Soltis" w:date="2017-01-18T15:51:00Z">
        <w:r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6"/>
      <w:r w:rsidR="00D3121D" w:rsidRPr="00DA7FA8">
        <w:rPr>
          <w:rStyle w:val="CommentReference"/>
          <w:sz w:val="24"/>
          <w:szCs w:val="24"/>
        </w:rPr>
        <w:commentReference w:id="6"/>
      </w:r>
      <w:commentRangeEnd w:id="7"/>
      <w:r w:rsidR="000A4A33">
        <w:rPr>
          <w:rStyle w:val="CommentReference"/>
        </w:rPr>
        <w:commentReference w:id="7"/>
      </w:r>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21C96207"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3"/>
      <w:r w:rsidR="00EA6EAB" w:rsidRPr="00471076">
        <w:rPr>
          <w:sz w:val="24"/>
          <w:szCs w:val="24"/>
        </w:rPr>
        <w:t xml:space="preserve">15% </w:t>
      </w:r>
      <w:commentRangeEnd w:id="13"/>
      <w:r w:rsidR="007A7AF3">
        <w:rPr>
          <w:rStyle w:val="CommentReference"/>
        </w:rPr>
        <w:commentReference w:id="13"/>
      </w:r>
      <w:r w:rsidR="00EA6EAB" w:rsidRPr="00471076">
        <w:rPr>
          <w:sz w:val="24"/>
          <w:szCs w:val="24"/>
        </w:rPr>
        <w:t xml:space="preserve">of phenotypic variation in a stem </w:t>
      </w:r>
      <w:commentRangeStart w:id="14"/>
      <w:r w:rsidR="00EA6EAB" w:rsidRPr="00471076">
        <w:rPr>
          <w:sz w:val="24"/>
          <w:szCs w:val="24"/>
        </w:rPr>
        <w:t>bioassay</w:t>
      </w:r>
      <w:commentRangeEnd w:id="14"/>
      <w:r w:rsidR="002E0F7F">
        <w:rPr>
          <w:rStyle w:val="CommentReference"/>
        </w:rPr>
        <w:commentReference w:id="14"/>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 xml:space="preserve">B. </w:t>
      </w:r>
      <w:proofErr w:type="gramStart"/>
      <w:r w:rsidR="000F79B1" w:rsidRPr="00471076">
        <w:rPr>
          <w:i/>
          <w:sz w:val="24"/>
          <w:szCs w:val="24"/>
        </w:rPr>
        <w:t>cinerea</w:t>
      </w:r>
      <w:proofErr w:type="gramEnd"/>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44332C35"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 xml:space="preserve">In our analysis of lesion images at 72 hours post inoculation, both host and pathogen genotype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48926FD7"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r w:rsidR="00F4356E">
        <w:rPr>
          <w:sz w:val="24"/>
          <w:szCs w:val="24"/>
        </w:rPr>
        <w:t>345,485</w:t>
      </w:r>
      <w:r w:rsidR="005339D5">
        <w:rPr>
          <w:sz w:val="24"/>
          <w:szCs w:val="24"/>
        </w:rPr>
        <w:t xml:space="preserve"> SNPs with MAF </w:t>
      </w:r>
      <w:r w:rsidR="00F4356E">
        <w:rPr>
          <w:sz w:val="24"/>
          <w:szCs w:val="24"/>
        </w:rPr>
        <w:t>0.20 or greater</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714744A6"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FD3221">
        <w:rPr>
          <w:sz w:val="24"/>
          <w:szCs w:val="24"/>
        </w:rPr>
        <w:t>345,485</w:t>
      </w:r>
      <w:r w:rsidR="00605543">
        <w:rPr>
          <w:sz w:val="24"/>
          <w:szCs w:val="24"/>
        </w:rPr>
        <w:t xml:space="preserve"> loci at MAF </w:t>
      </w:r>
      <w:r w:rsidR="00FD3221">
        <w:rPr>
          <w:sz w:val="24"/>
          <w:szCs w:val="24"/>
        </w:rPr>
        <w:t>0.20 or greater</w:t>
      </w:r>
      <w:r w:rsidR="00605543">
        <w:rPr>
          <w:sz w:val="24"/>
          <w:szCs w:val="24"/>
        </w:rPr>
        <w:t xml:space="preserve"> as described above. </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Pr="000D6362">
        <w:rPr>
          <w:sz w:val="24"/>
          <w:szCs w:val="24"/>
        </w:rPr>
        <w:t xml:space="preserve"> the phenotypes 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lastRenderedPageBreak/>
        <w:t>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15"/>
      <w:r w:rsidR="00F126CA">
        <w:rPr>
          <w:sz w:val="24"/>
          <w:szCs w:val="24"/>
        </w:rPr>
        <w:t xml:space="preserve">impact </w:t>
      </w:r>
      <w:commentRangeEnd w:id="15"/>
      <w:r w:rsidR="003D26E5">
        <w:rPr>
          <w:rStyle w:val="CommentReference"/>
        </w:rPr>
        <w:commentReference w:id="15"/>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lastRenderedPageBreak/>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xml:space="preserve">; </w:t>
      </w:r>
      <w:proofErr w:type="spellStart"/>
      <w:r w:rsidR="00A333FE">
        <w:rPr>
          <w:sz w:val="24"/>
          <w:szCs w:val="24"/>
        </w:rPr>
        <w:t>Denby</w:t>
      </w:r>
      <w:proofErr w:type="spellEnd"/>
      <w:r w:rsidR="00A333FE">
        <w:rPr>
          <w:sz w:val="24"/>
          <w:szCs w:val="24"/>
        </w:rPr>
        <w:t xml:space="preserve">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1F536EAE"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w:t>
      </w:r>
      <w:r w:rsidR="00EA1576">
        <w:rPr>
          <w:sz w:val="24"/>
          <w:szCs w:val="24"/>
        </w:rPr>
        <w:lastRenderedPageBreak/>
        <w:t>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16" w:author="Daniel Kliebenstein" w:date="2017-01-13T11:53:00Z">
        <w:r w:rsidR="00E019E8">
          <w:rPr>
            <w:sz w:val="24"/>
            <w:szCs w:val="24"/>
          </w:rPr>
          <w:t>(</w:t>
        </w:r>
        <w:commentRangeStart w:id="17"/>
        <w:commentRangeStart w:id="18"/>
        <w:proofErr w:type="gramEnd"/>
        <w:r w:rsidR="00E019E8">
          <w:rPr>
            <w:sz w:val="24"/>
            <w:szCs w:val="24"/>
          </w:rPr>
          <w:t>CITATIONS</w:t>
        </w:r>
        <w:commentRangeEnd w:id="17"/>
        <w:r w:rsidR="00E019E8">
          <w:rPr>
            <w:rStyle w:val="CommentReference"/>
          </w:rPr>
          <w:commentReference w:id="17"/>
        </w:r>
      </w:ins>
      <w:commentRangeEnd w:id="18"/>
      <w:r w:rsidR="00E019E8">
        <w:rPr>
          <w:rStyle w:val="CommentReference"/>
        </w:rPr>
        <w:commentReference w:id="18"/>
      </w:r>
      <w:ins w:id="19"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20"/>
      <w:r w:rsidR="00E019E8">
        <w:rPr>
          <w:sz w:val="24"/>
          <w:szCs w:val="24"/>
        </w:rPr>
        <w:t xml:space="preserve">resistance </w:t>
      </w:r>
      <w:commentRangeEnd w:id="20"/>
      <w:r w:rsidR="0043516B">
        <w:rPr>
          <w:rStyle w:val="CommentReference"/>
        </w:rPr>
        <w:commentReference w:id="20"/>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w:t>
      </w:r>
      <w:r w:rsidR="00CC4E31">
        <w:rPr>
          <w:sz w:val="24"/>
          <w:szCs w:val="24"/>
        </w:rPr>
        <w:lastRenderedPageBreak/>
        <w:t xml:space="preserve">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0D7C2DB"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lastRenderedPageBreak/>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R4F)</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r w:rsidR="00920521">
        <w:rPr>
          <w:sz w:val="24"/>
          <w:szCs w:val="24"/>
        </w:rPr>
        <w:t>(</w:t>
      </w:r>
      <w:commentRangeStart w:id="21"/>
      <w:commentRangeStart w:id="22"/>
      <w:r w:rsidR="00920521">
        <w:rPr>
          <w:sz w:val="24"/>
          <w:szCs w:val="24"/>
        </w:rPr>
        <w:t>Citations</w:t>
      </w:r>
      <w:commentRangeEnd w:id="21"/>
      <w:r w:rsidR="00920521">
        <w:rPr>
          <w:rStyle w:val="CommentReference"/>
        </w:rPr>
        <w:commentReference w:id="21"/>
      </w:r>
      <w:commentRangeEnd w:id="22"/>
      <w:r w:rsidR="002E0F7F">
        <w:rPr>
          <w:rStyle w:val="CommentReference"/>
        </w:rPr>
        <w:commentReference w:id="22"/>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252EC4D" w:rsidR="00F803BC" w:rsidRDefault="00AF2308" w:rsidP="00E77651">
      <w:pPr>
        <w:spacing w:line="480" w:lineRule="auto"/>
        <w:ind w:firstLine="720"/>
        <w:rPr>
          <w:sz w:val="24"/>
          <w:szCs w:val="24"/>
        </w:rPr>
      </w:pPr>
      <w:commentRangeStart w:id="23"/>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23"/>
      <w:r w:rsidR="006830A0">
        <w:rPr>
          <w:rStyle w:val="CommentReference"/>
        </w:rPr>
        <w:commentReference w:id="23"/>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because F-tests with 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with the fixed effects of domestication, plant genotype nested within domestication, and experiment. </w:t>
      </w:r>
      <w:commentRangeStart w:id="24"/>
      <w:r w:rsidR="00E33AB3">
        <w:rPr>
          <w:sz w:val="24"/>
          <w:szCs w:val="24"/>
        </w:rPr>
        <w:t>Through this single-isolate GLM analysis, a subset of seven isolates show a significant (p &lt; 0.05) i</w:t>
      </w:r>
      <w:commentRangeEnd w:id="24"/>
      <w:r w:rsidR="00E33AB3">
        <w:rPr>
          <w:rStyle w:val="CommentReference"/>
        </w:rPr>
        <w:commentReference w:id="24"/>
      </w:r>
      <w:r w:rsidR="00E33AB3">
        <w:rPr>
          <w:sz w:val="24"/>
          <w:szCs w:val="24"/>
        </w:rPr>
        <w:t xml:space="preserve">nteraction with host genotype, one of which is saprophytic (Figure R4E). </w:t>
      </w:r>
      <w:r w:rsidR="00461AE7">
        <w:rPr>
          <w:sz w:val="24"/>
          <w:szCs w:val="24"/>
        </w:rPr>
        <w:lastRenderedPageBreak/>
        <w:t xml:space="preserve">These seven isolates with sensitivity to tomato genotype may be adapted to a subset of the tomato varieties tested. </w:t>
      </w:r>
    </w:p>
    <w:p w14:paraId="64BF6A25" w14:textId="2E46A247" w:rsidR="006755B8" w:rsidRDefault="006830A0" w:rsidP="0032415F">
      <w:pPr>
        <w:spacing w:line="480" w:lineRule="auto"/>
        <w:ind w:firstLine="720"/>
        <w:rPr>
          <w:ins w:id="25" w:author="Daniel Kliebenstein" w:date="2017-03-22T15:41:00Z"/>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experiment, e</w:t>
      </w:r>
      <w:commentRangeStart w:id="26"/>
      <w:r w:rsidR="008A25B9">
        <w:rPr>
          <w:sz w:val="24"/>
          <w:szCs w:val="24"/>
        </w:rPr>
        <w:t>ight</w:t>
      </w:r>
      <w:r w:rsidR="00784448">
        <w:rPr>
          <w:sz w:val="24"/>
          <w:szCs w:val="24"/>
        </w:rPr>
        <w:t xml:space="preserve"> isolates showed a significant effect of domestication on lesion size </w:t>
      </w:r>
      <w:commentRangeEnd w:id="26"/>
      <w:r w:rsidR="008A25B9">
        <w:rPr>
          <w:rStyle w:val="CommentReference"/>
        </w:rPr>
        <w:commentReference w:id="26"/>
      </w:r>
      <w:r w:rsidR="00784448">
        <w:rPr>
          <w:sz w:val="24"/>
          <w:szCs w:val="24"/>
        </w:rPr>
        <w:t xml:space="preserve">(Figure R4F). These included </w:t>
      </w:r>
      <w:r w:rsidR="008A25B9">
        <w:rPr>
          <w:sz w:val="24"/>
          <w:szCs w:val="24"/>
        </w:rPr>
        <w:t>two</w:t>
      </w:r>
      <w:r w:rsidR="00784448">
        <w:rPr>
          <w:sz w:val="24"/>
          <w:szCs w:val="24"/>
        </w:rPr>
        <w:t xml:space="preserve"> of the </w:t>
      </w:r>
      <w:r w:rsidR="00AD09E6">
        <w:rPr>
          <w:sz w:val="24"/>
          <w:szCs w:val="24"/>
        </w:rPr>
        <w:t>highly</w:t>
      </w:r>
      <w:r w:rsidR="00784448">
        <w:rPr>
          <w:sz w:val="24"/>
          <w:szCs w:val="24"/>
        </w:rPr>
        <w:t xml:space="preserve"> virulent isolates, </w:t>
      </w:r>
      <w:r w:rsidR="008A25B9">
        <w:rPr>
          <w:sz w:val="24"/>
          <w:szCs w:val="24"/>
        </w:rPr>
        <w:t>five</w:t>
      </w:r>
      <w:r w:rsidR="00784448">
        <w:rPr>
          <w:sz w:val="24"/>
          <w:szCs w:val="24"/>
        </w:rPr>
        <w:t xml:space="preserve"> intermediate isolate</w:t>
      </w:r>
      <w:r w:rsidR="008A25B9">
        <w:rPr>
          <w:sz w:val="24"/>
          <w:szCs w:val="24"/>
        </w:rPr>
        <w:t>s</w:t>
      </w:r>
      <w:r w:rsidR="00784448">
        <w:rPr>
          <w:sz w:val="24"/>
          <w:szCs w:val="24"/>
        </w:rPr>
        <w:t>, and one of the saprophytic isolates,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173A62">
        <w:rPr>
          <w:sz w:val="24"/>
          <w:szCs w:val="24"/>
        </w:rPr>
        <w:t xml:space="preserve"> </w:t>
      </w:r>
      <w:r w:rsidR="005C5BE9">
        <w:rPr>
          <w:sz w:val="24"/>
          <w:szCs w:val="24"/>
        </w:rPr>
        <w:t>All</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F4E4731" w:rsidR="00BC5308" w:rsidRDefault="005D0AE7" w:rsidP="008A0D22">
      <w:pPr>
        <w:spacing w:line="480" w:lineRule="auto"/>
        <w:rPr>
          <w:sz w:val="24"/>
          <w:szCs w:val="24"/>
        </w:rPr>
      </w:pPr>
      <w:commentRangeStart w:id="27"/>
      <w:r>
        <w:rPr>
          <w:sz w:val="24"/>
          <w:szCs w:val="24"/>
        </w:rPr>
        <w:tab/>
      </w:r>
      <w:commentRangeStart w:id="28"/>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27"/>
      <w:r w:rsidR="00FD66D5">
        <w:rPr>
          <w:rStyle w:val="CommentReference"/>
        </w:rPr>
        <w:commentReference w:id="27"/>
      </w:r>
      <w:commentRangeEnd w:id="28"/>
      <w:r w:rsidR="006830A0">
        <w:rPr>
          <w:rStyle w:val="CommentReference"/>
        </w:rPr>
        <w:commentReference w:id="28"/>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 xml:space="preserve">We calculated least-squared means of lesion size for each isolate from linear models within each plant genotype, including the effects of isolate, experiment, and individual plant. We used a ridge-regression </w:t>
      </w:r>
      <w:r>
        <w:rPr>
          <w:sz w:val="24"/>
          <w:szCs w:val="24"/>
        </w:rPr>
        <w:lastRenderedPageBreak/>
        <w:t xml:space="preserve">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41C58144"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 xml:space="preserve">. </w:t>
      </w:r>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 xml:space="preserve">y SNPs had effect size estimates </w:t>
      </w:r>
      <w:proofErr w:type="spellStart"/>
      <w:r>
        <w:rPr>
          <w:sz w:val="24"/>
          <w:szCs w:val="24"/>
        </w:rPr>
        <w:t>excedding</w:t>
      </w:r>
      <w:proofErr w:type="spellEnd"/>
      <w:r>
        <w:rPr>
          <w:sz w:val="24"/>
          <w:szCs w:val="24"/>
        </w:rPr>
        <w:t xml:space="preserve"> the </w:t>
      </w:r>
      <w:r w:rsidR="006E62C1">
        <w:rPr>
          <w:sz w:val="24"/>
          <w:szCs w:val="24"/>
        </w:rPr>
        <w:t>99.9%</w:t>
      </w:r>
      <w:r>
        <w:rPr>
          <w:sz w:val="24"/>
          <w:szCs w:val="24"/>
        </w:rPr>
        <w:t xml:space="preserve"> threshold</w:t>
      </w:r>
      <w:r w:rsidR="006E62C1">
        <w:rPr>
          <w:sz w:val="24"/>
          <w:szCs w:val="24"/>
        </w:rPr>
        <w:t xml:space="preserve">, ranging from </w:t>
      </w:r>
      <w:r w:rsidR="00BC5308">
        <w:rPr>
          <w:sz w:val="24"/>
          <w:szCs w:val="24"/>
        </w:rPr>
        <w:t>267</w:t>
      </w:r>
      <w:r w:rsidR="006E62C1">
        <w:rPr>
          <w:sz w:val="24"/>
          <w:szCs w:val="24"/>
        </w:rPr>
        <w:t xml:space="preserve"> to </w:t>
      </w:r>
      <w:r w:rsidR="00BC5308">
        <w:rPr>
          <w:sz w:val="24"/>
          <w:szCs w:val="24"/>
        </w:rPr>
        <w:t>776</w:t>
      </w:r>
      <w:r w:rsidR="006E62C1">
        <w:rPr>
          <w:sz w:val="24"/>
          <w:szCs w:val="24"/>
        </w:rPr>
        <w:t xml:space="preserve"> SNPs per host. For the remaining 3 domesticated hosts, at least 1</w:t>
      </w:r>
      <w:r w:rsidR="00BC5308">
        <w:rPr>
          <w:sz w:val="24"/>
          <w:szCs w:val="24"/>
        </w:rPr>
        <w:t>400</w:t>
      </w:r>
      <w:r w:rsidR="006E62C1">
        <w:rPr>
          <w:sz w:val="24"/>
          <w:szCs w:val="24"/>
        </w:rPr>
        <w:t xml:space="preserve"> SNPs exceeded the 95% threshold. F</w:t>
      </w:r>
      <w:commentRangeStart w:id="29"/>
      <w:r w:rsidR="006E62C1">
        <w:rPr>
          <w:sz w:val="24"/>
          <w:szCs w:val="24"/>
        </w:rPr>
        <w:t>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29"/>
      <w:r w:rsidR="00874893">
        <w:rPr>
          <w:rStyle w:val="CommentReference"/>
        </w:rPr>
        <w:commentReference w:id="29"/>
      </w:r>
    </w:p>
    <w:p w14:paraId="34477F21" w14:textId="083F99D7"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(Figure R5</w:t>
      </w:r>
      <w:r w:rsidR="00847ADB">
        <w:rPr>
          <w:sz w:val="24"/>
          <w:szCs w:val="24"/>
        </w:rPr>
        <w:t>B</w:t>
      </w:r>
      <w:r>
        <w:rPr>
          <w:sz w:val="24"/>
          <w:szCs w:val="24"/>
        </w:rPr>
        <w:t>)</w:t>
      </w:r>
      <w:r w:rsidR="0041714B">
        <w:rPr>
          <w:sz w:val="24"/>
          <w:szCs w:val="24"/>
        </w:rPr>
        <w:t xml:space="preserve">, 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5733DEC0" w:rsidR="004017B8" w:rsidRDefault="0041714B" w:rsidP="00BF5072">
      <w:pPr>
        <w:spacing w:line="480" w:lineRule="auto"/>
        <w:ind w:firstLine="720"/>
        <w:rPr>
          <w:sz w:val="24"/>
          <w:szCs w:val="24"/>
        </w:rPr>
      </w:pPr>
      <w:r>
        <w:rPr>
          <w:sz w:val="24"/>
          <w:szCs w:val="24"/>
        </w:rPr>
        <w:t xml:space="preserve">We </w:t>
      </w:r>
      <w:r w:rsidR="00932108">
        <w:rPr>
          <w:sz w:val="24"/>
          <w:szCs w:val="24"/>
        </w:rPr>
        <w:t>next</w:t>
      </w:r>
      <w:r>
        <w:rPr>
          <w:sz w:val="24"/>
          <w:szCs w:val="24"/>
        </w:rPr>
        <w:t xml:space="preserve"> examined the top 50 SNPs </w:t>
      </w:r>
      <w:r w:rsidR="00E160CF">
        <w:rPr>
          <w:sz w:val="24"/>
          <w:szCs w:val="24"/>
        </w:rPr>
        <w:t>for each plant host (Figure R</w:t>
      </w:r>
      <w:r w:rsidR="002E0F7F">
        <w:rPr>
          <w:sz w:val="24"/>
          <w:szCs w:val="24"/>
        </w:rPr>
        <w:t>6</w:t>
      </w:r>
      <w:r w:rsidR="00A83BD4">
        <w:rPr>
          <w:sz w:val="24"/>
          <w:szCs w:val="24"/>
        </w:rPr>
        <w:t xml:space="preserve">). </w:t>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hosts</w:t>
      </w:r>
      <w:r w:rsidR="00A42B96">
        <w:rPr>
          <w:sz w:val="24"/>
          <w:szCs w:val="24"/>
        </w:rPr>
        <w:t xml:space="preserve"> but this was still only</w:t>
      </w:r>
      <w:r w:rsidR="00874893">
        <w:rPr>
          <w:sz w:val="24"/>
          <w:szCs w:val="24"/>
        </w:rPr>
        <w:t xml:space="preserve"> </w:t>
      </w:r>
      <w:r w:rsidR="002A4EC3">
        <w:rPr>
          <w:sz w:val="24"/>
          <w:szCs w:val="24"/>
        </w:rPr>
        <w:t>3-7</w:t>
      </w:r>
      <w:r w:rsidR="00874893">
        <w:rPr>
          <w:sz w:val="24"/>
          <w:szCs w:val="24"/>
        </w:rPr>
        <w:t>%</w:t>
      </w:r>
      <w:r w:rsidR="00A01E0A">
        <w:rPr>
          <w:sz w:val="24"/>
          <w:szCs w:val="24"/>
        </w:rPr>
        <w:t>.</w:t>
      </w:r>
      <w:r w:rsidR="00A42B96">
        <w:rPr>
          <w:sz w:val="24"/>
          <w:szCs w:val="24"/>
        </w:rPr>
        <w:t xml:space="preserve"> The rest of the </w:t>
      </w:r>
      <w:r w:rsidR="00A42B96">
        <w:rPr>
          <w:sz w:val="24"/>
          <w:szCs w:val="24"/>
        </w:rPr>
        <w:lastRenderedPageBreak/>
        <w:t>SNPs had much smaller effects. Thus, the pathogen appears to rely on polygenic small effect loci to control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E769B07" w:rsidR="00A83BD4" w:rsidRDefault="00A83BD4" w:rsidP="008A0D22">
      <w:pPr>
        <w:spacing w:line="480" w:lineRule="auto"/>
        <w:rPr>
          <w:sz w:val="24"/>
          <w:szCs w:val="24"/>
        </w:rPr>
      </w:pPr>
      <w:r>
        <w:rPr>
          <w:sz w:val="24"/>
          <w:szCs w:val="24"/>
        </w:rPr>
        <w:tab/>
      </w:r>
      <w:commentRangeStart w:id="30"/>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30"/>
      <w:r w:rsidR="00F23578">
        <w:rPr>
          <w:rStyle w:val="CommentReference"/>
        </w:rPr>
        <w:commentReference w:id="30"/>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domesticated, wild, and domestication sensitivity. </w:t>
      </w:r>
      <w:r w:rsidR="00D70F24">
        <w:rPr>
          <w:sz w:val="24"/>
          <w:szCs w:val="24"/>
        </w:rPr>
        <w:t>Numerous</w:t>
      </w:r>
      <w:r>
        <w:rPr>
          <w:sz w:val="24"/>
          <w:szCs w:val="24"/>
        </w:rPr>
        <w:t xml:space="preserve"> SNPs exceeded the 99.9%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B10">
        <w:rPr>
          <w:sz w:val="24"/>
          <w:szCs w:val="24"/>
        </w:rPr>
        <w:t>).</w:t>
      </w:r>
    </w:p>
    <w:p w14:paraId="6E33201B" w14:textId="7FE9930F"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1"/>
      <w:commentRangeStart w:id="32"/>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1"/>
      <w:r w:rsidR="00A42B96">
        <w:rPr>
          <w:rStyle w:val="CommentReference"/>
        </w:rPr>
        <w:commentReference w:id="31"/>
      </w:r>
      <w:commentRangeEnd w:id="32"/>
      <w:r w:rsidR="00363E39">
        <w:rPr>
          <w:rStyle w:val="CommentReference"/>
        </w:rPr>
        <w:commentReference w:id="32"/>
      </w:r>
      <w:r w:rsidR="00861B3B">
        <w:rPr>
          <w:sz w:val="24"/>
          <w:szCs w:val="24"/>
        </w:rPr>
        <w:t xml:space="preserve">. This </w:t>
      </w:r>
      <w:r w:rsidR="00363E39">
        <w:rPr>
          <w:sz w:val="24"/>
          <w:szCs w:val="24"/>
        </w:rPr>
        <w:lastRenderedPageBreak/>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p>
    <w:p w14:paraId="769E6E10" w14:textId="32AA40C2" w:rsidR="003577C8" w:rsidRPr="005D0AE7" w:rsidRDefault="003577C8" w:rsidP="008A0D22">
      <w:pPr>
        <w:spacing w:line="480" w:lineRule="auto"/>
        <w:ind w:firstLine="720"/>
        <w:rPr>
          <w:sz w:val="24"/>
          <w:szCs w:val="24"/>
        </w:rPr>
      </w:pPr>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w:t>
      </w:r>
      <w:commentRangeStart w:id="33"/>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33"/>
      <w:r w:rsidR="00A858D1">
        <w:rPr>
          <w:rStyle w:val="CommentReference"/>
        </w:rPr>
        <w:commentReference w:id="33"/>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4"/>
      <w:r>
        <w:rPr>
          <w:sz w:val="24"/>
          <w:szCs w:val="24"/>
        </w:rPr>
        <w:t>Summary paragraph</w:t>
      </w:r>
      <w:commentRangeEnd w:id="34"/>
      <w:r>
        <w:rPr>
          <w:rStyle w:val="CommentReference"/>
        </w:rPr>
        <w:commentReference w:id="34"/>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54847A56" w14:textId="17CD443D" w:rsidR="005A4150" w:rsidRDefault="009707C0" w:rsidP="006C499C">
      <w:pPr>
        <w:spacing w:line="480" w:lineRule="auto"/>
        <w:ind w:firstLine="720"/>
        <w:rPr>
          <w:sz w:val="24"/>
          <w:szCs w:val="24"/>
        </w:rPr>
      </w:pPr>
      <w:r>
        <w:rPr>
          <w:sz w:val="24"/>
          <w:szCs w:val="24"/>
        </w:rPr>
        <w:t xml:space="preserve">These 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r w:rsidR="007D27A1">
        <w:rPr>
          <w:sz w:val="24"/>
          <w:szCs w:val="24"/>
        </w:rPr>
        <w:t>plant-</w:t>
      </w:r>
      <w:r w:rsidR="003B75F5">
        <w:rPr>
          <w:sz w:val="24"/>
          <w:szCs w:val="24"/>
        </w:rPr>
        <w:t xml:space="preserve">pathogen interactions, it is not the primary evolutionary force in defining these 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Host domestication only significantly affected three out of the 91 isolates we studied. So while host domestication consistently reduces resistance to this </w:t>
      </w:r>
      <w:r w:rsidR="009A2734">
        <w:rPr>
          <w:sz w:val="24"/>
          <w:szCs w:val="24"/>
        </w:rPr>
        <w:t>generalist</w:t>
      </w:r>
      <w:r w:rsidR="007D27A1">
        <w:rPr>
          <w:sz w:val="24"/>
          <w:szCs w:val="24"/>
        </w:rPr>
        <w:t xml:space="preserve"> pathogen, this may be driven by a</w:t>
      </w:r>
      <w:r w:rsidR="00AA35C0">
        <w:rPr>
          <w:sz w:val="24"/>
          <w:szCs w:val="24"/>
        </w:rPr>
        <w:t xml:space="preserve"> </w:t>
      </w:r>
      <w:r w:rsidR="007D27A1">
        <w:rPr>
          <w:sz w:val="24"/>
          <w:szCs w:val="24"/>
        </w:rPr>
        <w:t xml:space="preserve">domestication-sensitive subset of </w:t>
      </w:r>
      <w:r w:rsidR="00AA35C0" w:rsidRPr="00962D87">
        <w:rPr>
          <w:i/>
          <w:sz w:val="24"/>
          <w:szCs w:val="24"/>
        </w:rPr>
        <w:t xml:space="preserve">B. cinerea </w:t>
      </w:r>
      <w:r w:rsidR="00AA35C0">
        <w:rPr>
          <w:sz w:val="24"/>
          <w:szCs w:val="24"/>
        </w:rPr>
        <w:t xml:space="preserve">genotypes. </w:t>
      </w:r>
      <w:r w:rsidR="006C499C">
        <w:rPr>
          <w:sz w:val="24"/>
          <w:szCs w:val="24"/>
        </w:rPr>
        <w:t xml:space="preserve">Given that the </w:t>
      </w:r>
      <w:r w:rsidR="00AA35C0">
        <w:rPr>
          <w:sz w:val="24"/>
          <w:szCs w:val="24"/>
        </w:rPr>
        <w:t xml:space="preserve">effect of host domestication varies by </w:t>
      </w:r>
      <w:r w:rsidR="00AA35C0" w:rsidRPr="00962D87">
        <w:rPr>
          <w:i/>
          <w:sz w:val="24"/>
          <w:szCs w:val="24"/>
        </w:rPr>
        <w:t xml:space="preserve">B. cinerea </w:t>
      </w:r>
      <w:r w:rsidR="00AA35C0">
        <w:rPr>
          <w:sz w:val="24"/>
          <w:szCs w:val="24"/>
        </w:rPr>
        <w:t xml:space="preserve">genotype, </w:t>
      </w:r>
      <w:r w:rsidR="006C499C">
        <w:rPr>
          <w:sz w:val="24"/>
          <w:szCs w:val="24"/>
        </w:rPr>
        <w:t xml:space="preserve">this validates the approach of </w:t>
      </w:r>
      <w:r w:rsidR="00AA35C0">
        <w:rPr>
          <w:sz w:val="24"/>
          <w:szCs w:val="24"/>
        </w:rPr>
        <w:t>study</w:t>
      </w:r>
      <w:r w:rsidR="006C499C">
        <w:rPr>
          <w:sz w:val="24"/>
          <w:szCs w:val="24"/>
        </w:rPr>
        <w:t xml:space="preserve">ing natural </w:t>
      </w:r>
      <w:r w:rsidR="006C499C">
        <w:rPr>
          <w:sz w:val="24"/>
          <w:szCs w:val="24"/>
        </w:rPr>
        <w:lastRenderedPageBreak/>
        <w:t xml:space="preserve">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w:t>
      </w:r>
      <w:commentRangeStart w:id="35"/>
      <w:r w:rsidR="00962D87">
        <w:rPr>
          <w:sz w:val="24"/>
          <w:szCs w:val="24"/>
        </w:rPr>
        <w:t>[GIVE EXAMPLES]</w:t>
      </w:r>
      <w:commentRangeEnd w:id="35"/>
      <w:r w:rsidR="006C499C">
        <w:rPr>
          <w:rStyle w:val="CommentReference"/>
        </w:rPr>
        <w:commentReference w:id="35"/>
      </w:r>
      <w:r w:rsidR="00962D87">
        <w:rPr>
          <w:sz w:val="24"/>
          <w:szCs w:val="24"/>
        </w:rPr>
        <w:t xml:space="preserve">.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t>
      </w:r>
      <w:r w:rsidR="006C499C">
        <w:rPr>
          <w:sz w:val="24"/>
          <w:szCs w:val="24"/>
        </w:rPr>
        <w:t>between</w:t>
      </w:r>
      <w:r w:rsidR="00AA35C0">
        <w:rPr>
          <w:sz w:val="24"/>
          <w:szCs w:val="24"/>
        </w:rPr>
        <w:t xml:space="preserve"> domesticated lines, as new combinations of alleles are mixed together.</w:t>
      </w:r>
    </w:p>
    <w:p w14:paraId="48026B66" w14:textId="3EE6C0C3" w:rsidR="00256FFF" w:rsidRPr="00E773AB" w:rsidRDefault="00256FFF" w:rsidP="006C499C">
      <w:pPr>
        <w:spacing w:line="480" w:lineRule="auto"/>
        <w:ind w:firstLine="720"/>
        <w:rPr>
          <w:sz w:val="24"/>
          <w:szCs w:val="24"/>
        </w:rPr>
      </w:pPr>
      <w:r>
        <w:rPr>
          <w:sz w:val="24"/>
          <w:szCs w:val="24"/>
        </w:rPr>
        <w:t>These patterns, of mild increase in resistance to B. cinerea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 xml:space="preserve">on its other host plants. Does domestication have a universal </w:t>
      </w:r>
      <w:proofErr w:type="spellStart"/>
      <w:r w:rsidR="00E773AB">
        <w:rPr>
          <w:sz w:val="24"/>
          <w:szCs w:val="24"/>
        </w:rPr>
        <w:t>affect</w:t>
      </w:r>
      <w:proofErr w:type="spellEnd"/>
      <w:r w:rsidR="00E773AB">
        <w:rPr>
          <w:sz w:val="24"/>
          <w:szCs w:val="24"/>
        </w:rPr>
        <w:t xml:space="preserve"> on plant resistance to </w:t>
      </w:r>
      <w:r w:rsidR="00E773AB">
        <w:rPr>
          <w:i/>
          <w:sz w:val="24"/>
          <w:szCs w:val="24"/>
        </w:rPr>
        <w:t>B. cinerea</w:t>
      </w:r>
      <w:r w:rsidR="00E773AB">
        <w:rPr>
          <w:sz w:val="24"/>
          <w:szCs w:val="24"/>
        </w:rPr>
        <w:t>, or is each domestication event unique?</w:t>
      </w:r>
    </w:p>
    <w:p w14:paraId="1D43A1CF" w14:textId="46A353A5" w:rsidR="00CB2888" w:rsidRPr="005A4150" w:rsidRDefault="005A4150" w:rsidP="005A4150">
      <w:pPr>
        <w:spacing w:line="480" w:lineRule="auto"/>
        <w:rPr>
          <w:b/>
          <w:sz w:val="24"/>
          <w:szCs w:val="24"/>
        </w:rPr>
      </w:pPr>
      <w:commentRangeStart w:id="36"/>
      <w:r>
        <w:rPr>
          <w:b/>
          <w:sz w:val="24"/>
          <w:szCs w:val="24"/>
        </w:rPr>
        <w:t>Polygenic quantitative virulence and breeding complications</w:t>
      </w:r>
      <w:commentRangeEnd w:id="36"/>
      <w:r w:rsidR="00CB2888">
        <w:rPr>
          <w:rStyle w:val="CommentReference"/>
        </w:rPr>
        <w:commentReference w:id="36"/>
      </w:r>
    </w:p>
    <w:p w14:paraId="66D74AB9" w14:textId="0420161C"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and many SNPs, approximately 200 – 800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37"/>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37"/>
      <w:r>
        <w:rPr>
          <w:rStyle w:val="CommentReference"/>
        </w:rPr>
        <w:commentReference w:id="37"/>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38"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w:t>
      </w:r>
      <w:r>
        <w:rPr>
          <w:sz w:val="24"/>
          <w:szCs w:val="24"/>
        </w:rPr>
        <w:lastRenderedPageBreak/>
        <w:t>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39" w:author="Daniel Kliebenstein" w:date="2017-01-24T13:36:00Z"/>
          <w:sz w:val="24"/>
          <w:szCs w:val="24"/>
        </w:rPr>
      </w:pPr>
    </w:p>
    <w:p w14:paraId="513357BF" w14:textId="01DBD954" w:rsidR="00A42B96" w:rsidRPr="00A42B96" w:rsidRDefault="00A42B96" w:rsidP="00660515">
      <w:pPr>
        <w:spacing w:line="480" w:lineRule="auto"/>
        <w:rPr>
          <w:b/>
          <w:sz w:val="24"/>
          <w:szCs w:val="24"/>
          <w:rPrChange w:id="40" w:author="Daniel Kliebenstein" w:date="2017-01-24T13:37:00Z">
            <w:rPr>
              <w:sz w:val="24"/>
              <w:szCs w:val="24"/>
            </w:rPr>
          </w:rPrChange>
        </w:rPr>
      </w:pPr>
      <w:ins w:id="41"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r w:rsidR="00D20BC2">
        <w:rPr>
          <w:sz w:val="24"/>
          <w:szCs w:val="24"/>
        </w:rPr>
        <w:t xml:space="preserve">Results of ANOVA from GLM of </w:t>
      </w:r>
      <w:r w:rsidR="00D20BC2">
        <w:rPr>
          <w:i/>
          <w:sz w:val="24"/>
          <w:szCs w:val="24"/>
        </w:rPr>
        <w:t>Botrytis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4DE64DC1" w:rsidR="0039444C" w:rsidRDefault="0039444C" w:rsidP="0039444C">
      <w:pPr>
        <w:rPr>
          <w:sz w:val="24"/>
          <w:szCs w:val="24"/>
        </w:rPr>
      </w:pPr>
      <w:r w:rsidRPr="00572481">
        <w:rPr>
          <w:sz w:val="24"/>
          <w:szCs w:val="24"/>
        </w:rPr>
        <w:lastRenderedPageBreak/>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w:t>
      </w:r>
      <w:r w:rsidR="000D40EF">
        <w:rPr>
          <w:sz w:val="24"/>
          <w:szCs w:val="24"/>
        </w:rPr>
        <w:t>plant genotype</w:t>
      </w:r>
      <w:r>
        <w:rPr>
          <w:sz w:val="24"/>
          <w:szCs w:val="24"/>
        </w:rPr>
        <w:t xml:space="preserve">-sensitive isolates, F is 5 isolates collected from tomato tissue, </w:t>
      </w:r>
      <w:proofErr w:type="gramStart"/>
      <w:r>
        <w:rPr>
          <w:sz w:val="24"/>
          <w:szCs w:val="24"/>
        </w:rPr>
        <w:t>G</w:t>
      </w:r>
      <w:proofErr w:type="gramEnd"/>
      <w:r>
        <w:rPr>
          <w:sz w:val="24"/>
          <w:szCs w:val="24"/>
        </w:rPr>
        <w:t xml:space="preserve">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7ECC18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99.9% across individual-host phenotypes and domestication phenotypes. </w:t>
      </w:r>
      <w:r w:rsidR="00817719">
        <w:rPr>
          <w:sz w:val="24"/>
          <w:szCs w:val="24"/>
        </w:rPr>
        <w:t>A: Count of SNPS &gt; 99.9% in common across individual plant hosts. B: Count of SNPs &gt;99.9%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lastRenderedPageBreak/>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lastRenderedPageBreak/>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Nicole Soltis" w:date="2017-03-22T12:29:00Z" w:initials="NS">
    <w:p w14:paraId="668F4EB7" w14:textId="77CDA852" w:rsidR="00B1466E" w:rsidRDefault="00B1466E">
      <w:pPr>
        <w:pStyle w:val="CommentText"/>
      </w:pPr>
      <w:r>
        <w:rPr>
          <w:rStyle w:val="CommentReference"/>
        </w:rPr>
        <w:annotationRef/>
      </w:r>
      <w:r>
        <w:t>Word choice</w:t>
      </w:r>
    </w:p>
  </w:comment>
  <w:comment w:id="2" w:author="Daniel Kliebenstein" w:date="2017-01-12T15:48:00Z" w:initials="DK">
    <w:p w14:paraId="3D33F658" w14:textId="77777777" w:rsidR="00A54829" w:rsidRDefault="00A54829">
      <w:pPr>
        <w:pStyle w:val="CommentText"/>
      </w:pPr>
      <w:r>
        <w:rPr>
          <w:rStyle w:val="CommentReference"/>
        </w:rPr>
        <w:annotationRef/>
      </w:r>
      <w:proofErr w:type="gramStart"/>
      <w:r>
        <w:t>citations</w:t>
      </w:r>
      <w:proofErr w:type="gramEnd"/>
    </w:p>
  </w:comment>
  <w:comment w:id="3" w:author="Nicole Soltis" w:date="2017-03-22T14:33:00Z" w:initials="NS">
    <w:p w14:paraId="756AE775" w14:textId="74E98CEA" w:rsidR="000A4A33" w:rsidRDefault="000A4A33">
      <w:pPr>
        <w:pStyle w:val="CommentText"/>
      </w:pPr>
      <w:r>
        <w:rPr>
          <w:rStyle w:val="CommentReference"/>
        </w:rPr>
        <w:annotationRef/>
      </w:r>
      <w:proofErr w:type="gramStart"/>
      <w:r>
        <w:t>more</w:t>
      </w:r>
      <w:proofErr w:type="gramEnd"/>
      <w:r>
        <w:t xml:space="preserve"> citations?</w:t>
      </w:r>
    </w:p>
  </w:comment>
  <w:comment w:id="4"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5"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10"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11"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6"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7"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3"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4"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15" w:author="Daniel Kliebenstein" w:date="2017-03-29T11:34:00Z" w:initials="DK">
    <w:p w14:paraId="34FB81C7" w14:textId="5E38C79D" w:rsidR="003D26E5" w:rsidRDefault="003D26E5">
      <w:pPr>
        <w:pStyle w:val="CommentText"/>
      </w:pPr>
      <w:r>
        <w:rPr>
          <w:rStyle w:val="CommentReference"/>
        </w:rPr>
        <w:annotationRef/>
      </w:r>
      <w:proofErr w:type="gramStart"/>
      <w:r>
        <w:t>vague</w:t>
      </w:r>
      <w:proofErr w:type="gramEnd"/>
    </w:p>
  </w:comment>
  <w:comment w:id="17"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18"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20"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21" w:author="Daniel Kliebenstein" w:date="2017-01-13T13:53:00Z" w:initials="DK">
    <w:p w14:paraId="43434EAE" w14:textId="2AB72FB8" w:rsidR="00A54829" w:rsidRDefault="00A54829">
      <w:pPr>
        <w:pStyle w:val="CommentText"/>
      </w:pPr>
      <w:r>
        <w:rPr>
          <w:rStyle w:val="CommentReference"/>
        </w:rPr>
        <w:annotationRef/>
      </w:r>
      <w:r>
        <w:t>Citations</w:t>
      </w:r>
    </w:p>
  </w:comment>
  <w:comment w:id="22" w:author="Nicole Soltis" w:date="2017-03-22T14:52:00Z" w:initials="NS">
    <w:p w14:paraId="7ED46E48" w14:textId="31283F19" w:rsidR="002E0F7F" w:rsidRDefault="002E0F7F">
      <w:pPr>
        <w:pStyle w:val="CommentText"/>
      </w:pPr>
      <w:r>
        <w:rPr>
          <w:rStyle w:val="CommentReference"/>
        </w:rPr>
        <w:annotationRef/>
      </w:r>
      <w:r>
        <w:t>Still need to add</w:t>
      </w:r>
    </w:p>
  </w:comment>
  <w:comment w:id="23"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24" w:author="Nicole Soltis" w:date="2017-03-29T10:38:00Z" w:initials="NS">
    <w:p w14:paraId="6DBDF889" w14:textId="2FA0703E" w:rsidR="00E33AB3" w:rsidRDefault="00E33AB3" w:rsidP="00E33AB3">
      <w:pPr>
        <w:pStyle w:val="CommentText"/>
      </w:pPr>
      <w:r>
        <w:rPr>
          <w:rStyle w:val="CommentReference"/>
        </w:rPr>
        <w:annotationRef/>
      </w:r>
      <w:r w:rsidR="00CB0FF3">
        <w:t xml:space="preserve">This is without </w:t>
      </w:r>
      <w:r>
        <w:t>FDR</w:t>
      </w:r>
    </w:p>
  </w:comment>
  <w:comment w:id="26" w:author="Nicole Soltis" w:date="2017-02-15T15:23:00Z" w:initials="NS">
    <w:p w14:paraId="1A42A3E5" w14:textId="6766AAE7" w:rsidR="00A54829" w:rsidRDefault="00A54829">
      <w:pPr>
        <w:pStyle w:val="CommentText"/>
      </w:pPr>
      <w:r>
        <w:rPr>
          <w:rStyle w:val="CommentReference"/>
        </w:rPr>
        <w:annotationRef/>
      </w:r>
      <w:r>
        <w:t>This is without FDR</w:t>
      </w:r>
    </w:p>
  </w:comment>
  <w:comment w:id="27" w:author="Nicole Soltis" w:date="2017-03-27T11:32:00Z" w:initials="NS">
    <w:p w14:paraId="76013067" w14:textId="0576DB52" w:rsidR="00FD66D5" w:rsidRDefault="00FD66D5">
      <w:pPr>
        <w:pStyle w:val="CommentText"/>
      </w:pPr>
      <w:r>
        <w:rPr>
          <w:rStyle w:val="CommentReference"/>
        </w:rPr>
        <w:annotationRef/>
      </w:r>
      <w:proofErr w:type="gramStart"/>
      <w:r>
        <w:t>fix</w:t>
      </w:r>
      <w:proofErr w:type="gramEnd"/>
      <w:r>
        <w:t xml:space="preserve"> this</w:t>
      </w:r>
    </w:p>
  </w:comment>
  <w:comment w:id="28"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29" w:author="Nicole Soltis" w:date="2017-03-20T15:16:00Z" w:initials="NS">
    <w:p w14:paraId="1B9E9D77" w14:textId="15E1123C" w:rsidR="00874893" w:rsidRDefault="00874893">
      <w:pPr>
        <w:pStyle w:val="CommentText"/>
      </w:pPr>
      <w:r>
        <w:rPr>
          <w:rStyle w:val="CommentReference"/>
        </w:rPr>
        <w:annotationRef/>
      </w:r>
      <w:r>
        <w:t>Why would this be?</w:t>
      </w:r>
    </w:p>
  </w:comment>
  <w:comment w:id="30"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31"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32"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33"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34"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5" w:author="Nicole Soltis" w:date="2017-04-06T16:59:00Z" w:initials="NS">
    <w:p w14:paraId="2AB92D67" w14:textId="2E2D8CB5" w:rsidR="006C499C" w:rsidRDefault="006C499C">
      <w:pPr>
        <w:pStyle w:val="CommentText"/>
      </w:pPr>
      <w:r>
        <w:rPr>
          <w:rStyle w:val="CommentReference"/>
        </w:rPr>
        <w:annotationRef/>
      </w:r>
      <w:r>
        <w:t>Add here</w:t>
      </w:r>
    </w:p>
  </w:comment>
  <w:comment w:id="36" w:author="Nicole Soltis" w:date="2017-04-06T17:20:00Z" w:initials="NS">
    <w:p w14:paraId="02CCCBCB" w14:textId="74391FC2" w:rsidR="00CB2888" w:rsidRDefault="00CB2888">
      <w:pPr>
        <w:pStyle w:val="CommentText"/>
      </w:pPr>
      <w:r>
        <w:rPr>
          <w:rStyle w:val="CommentReference"/>
        </w:rPr>
        <w:annotationRef/>
      </w:r>
      <w:r>
        <w:t>Start here!!</w:t>
      </w:r>
    </w:p>
  </w:comment>
  <w:comment w:id="37" w:author="Daniel Kliebenstein" w:date="2017-01-17T11:35:00Z" w:initials="DK">
    <w:p w14:paraId="4E45DC12" w14:textId="77777777" w:rsidR="00A54829" w:rsidRDefault="00A54829"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5030A"/>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415F"/>
    <w:rsid w:val="003250DB"/>
    <w:rsid w:val="00326A40"/>
    <w:rsid w:val="003326ED"/>
    <w:rsid w:val="00333068"/>
    <w:rsid w:val="00343333"/>
    <w:rsid w:val="00344272"/>
    <w:rsid w:val="0034430B"/>
    <w:rsid w:val="003444D9"/>
    <w:rsid w:val="003529A3"/>
    <w:rsid w:val="00356616"/>
    <w:rsid w:val="00356FC1"/>
    <w:rsid w:val="003577C8"/>
    <w:rsid w:val="00363E39"/>
    <w:rsid w:val="00364E91"/>
    <w:rsid w:val="00365F7D"/>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836F6"/>
    <w:rsid w:val="00494935"/>
    <w:rsid w:val="00496F1B"/>
    <w:rsid w:val="004A0709"/>
    <w:rsid w:val="004A0949"/>
    <w:rsid w:val="004A51ED"/>
    <w:rsid w:val="004B451C"/>
    <w:rsid w:val="004B7A8C"/>
    <w:rsid w:val="004B7C6E"/>
    <w:rsid w:val="004C372B"/>
    <w:rsid w:val="004C6F15"/>
    <w:rsid w:val="004D38F6"/>
    <w:rsid w:val="004D7AF9"/>
    <w:rsid w:val="004E5A9E"/>
    <w:rsid w:val="004F7F9A"/>
    <w:rsid w:val="00502CFB"/>
    <w:rsid w:val="00505B78"/>
    <w:rsid w:val="005158C1"/>
    <w:rsid w:val="00517AFA"/>
    <w:rsid w:val="00520E5A"/>
    <w:rsid w:val="005339D5"/>
    <w:rsid w:val="005352C3"/>
    <w:rsid w:val="005370B1"/>
    <w:rsid w:val="0054317F"/>
    <w:rsid w:val="00554F23"/>
    <w:rsid w:val="005602D8"/>
    <w:rsid w:val="00565BF2"/>
    <w:rsid w:val="00572481"/>
    <w:rsid w:val="005802AD"/>
    <w:rsid w:val="00587041"/>
    <w:rsid w:val="00590160"/>
    <w:rsid w:val="0059795E"/>
    <w:rsid w:val="005A4150"/>
    <w:rsid w:val="005A4ECB"/>
    <w:rsid w:val="005A544C"/>
    <w:rsid w:val="005A7716"/>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27A1"/>
    <w:rsid w:val="007D5372"/>
    <w:rsid w:val="007E6E79"/>
    <w:rsid w:val="007E7F8C"/>
    <w:rsid w:val="0080338F"/>
    <w:rsid w:val="00805627"/>
    <w:rsid w:val="0081033D"/>
    <w:rsid w:val="00813877"/>
    <w:rsid w:val="00814B0C"/>
    <w:rsid w:val="00814D01"/>
    <w:rsid w:val="00817719"/>
    <w:rsid w:val="0083221A"/>
    <w:rsid w:val="00847ADB"/>
    <w:rsid w:val="00854928"/>
    <w:rsid w:val="00855B91"/>
    <w:rsid w:val="00857694"/>
    <w:rsid w:val="00861B3B"/>
    <w:rsid w:val="00870396"/>
    <w:rsid w:val="00870D27"/>
    <w:rsid w:val="00874893"/>
    <w:rsid w:val="00877AE8"/>
    <w:rsid w:val="008945F3"/>
    <w:rsid w:val="008A0D22"/>
    <w:rsid w:val="008A25B9"/>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25EE1"/>
    <w:rsid w:val="00932108"/>
    <w:rsid w:val="00942914"/>
    <w:rsid w:val="00961651"/>
    <w:rsid w:val="00962D87"/>
    <w:rsid w:val="009707C0"/>
    <w:rsid w:val="00973F87"/>
    <w:rsid w:val="0097612A"/>
    <w:rsid w:val="009814E1"/>
    <w:rsid w:val="009836A7"/>
    <w:rsid w:val="00991CA3"/>
    <w:rsid w:val="00992198"/>
    <w:rsid w:val="009A1C3C"/>
    <w:rsid w:val="009A2734"/>
    <w:rsid w:val="009A5C4F"/>
    <w:rsid w:val="009B513C"/>
    <w:rsid w:val="009C1F7C"/>
    <w:rsid w:val="009C5523"/>
    <w:rsid w:val="009D15A4"/>
    <w:rsid w:val="009D2C6D"/>
    <w:rsid w:val="009D2FF2"/>
    <w:rsid w:val="009E4B5D"/>
    <w:rsid w:val="009E7104"/>
    <w:rsid w:val="009F0A62"/>
    <w:rsid w:val="009F588B"/>
    <w:rsid w:val="00A01E0A"/>
    <w:rsid w:val="00A172E3"/>
    <w:rsid w:val="00A205B0"/>
    <w:rsid w:val="00A254EC"/>
    <w:rsid w:val="00A27AF5"/>
    <w:rsid w:val="00A333FE"/>
    <w:rsid w:val="00A33EE1"/>
    <w:rsid w:val="00A42B96"/>
    <w:rsid w:val="00A52DC5"/>
    <w:rsid w:val="00A54829"/>
    <w:rsid w:val="00A60CBA"/>
    <w:rsid w:val="00A615A8"/>
    <w:rsid w:val="00A63631"/>
    <w:rsid w:val="00A710D9"/>
    <w:rsid w:val="00A83BD4"/>
    <w:rsid w:val="00A858D1"/>
    <w:rsid w:val="00A864BB"/>
    <w:rsid w:val="00A91200"/>
    <w:rsid w:val="00A91962"/>
    <w:rsid w:val="00A951D7"/>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77F0"/>
    <w:rsid w:val="00B95FEA"/>
    <w:rsid w:val="00BA2199"/>
    <w:rsid w:val="00BB47CC"/>
    <w:rsid w:val="00BC5308"/>
    <w:rsid w:val="00BD1A5C"/>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437E9"/>
    <w:rsid w:val="00E5522B"/>
    <w:rsid w:val="00E60E08"/>
    <w:rsid w:val="00E74B88"/>
    <w:rsid w:val="00E76177"/>
    <w:rsid w:val="00E764BE"/>
    <w:rsid w:val="00E773AB"/>
    <w:rsid w:val="00E77651"/>
    <w:rsid w:val="00E8258B"/>
    <w:rsid w:val="00EA1576"/>
    <w:rsid w:val="00EA185C"/>
    <w:rsid w:val="00EA5F5F"/>
    <w:rsid w:val="00EA6EAB"/>
    <w:rsid w:val="00EA787B"/>
    <w:rsid w:val="00EC0F3E"/>
    <w:rsid w:val="00EE114F"/>
    <w:rsid w:val="00EE56F7"/>
    <w:rsid w:val="00EF5A6D"/>
    <w:rsid w:val="00F0245B"/>
    <w:rsid w:val="00F05926"/>
    <w:rsid w:val="00F126CA"/>
    <w:rsid w:val="00F138A3"/>
    <w:rsid w:val="00F23578"/>
    <w:rsid w:val="00F337BC"/>
    <w:rsid w:val="00F34580"/>
    <w:rsid w:val="00F4356E"/>
    <w:rsid w:val="00F43BAF"/>
    <w:rsid w:val="00F452E2"/>
    <w:rsid w:val="00F529A7"/>
    <w:rsid w:val="00F60037"/>
    <w:rsid w:val="00F74AD5"/>
    <w:rsid w:val="00F77335"/>
    <w:rsid w:val="00F803BC"/>
    <w:rsid w:val="00F80AFB"/>
    <w:rsid w:val="00F86FAA"/>
    <w:rsid w:val="00F919BB"/>
    <w:rsid w:val="00F947B4"/>
    <w:rsid w:val="00F94C1A"/>
    <w:rsid w:val="00FD28D9"/>
    <w:rsid w:val="00FD3221"/>
    <w:rsid w:val="00FD66D5"/>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D2020-75B5-4CF0-9EB7-6EECB3EE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8694</Words>
  <Characters>49557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7</cp:revision>
  <dcterms:created xsi:type="dcterms:W3CDTF">2017-04-06T23:18:00Z</dcterms:created>
  <dcterms:modified xsi:type="dcterms:W3CDTF">2017-04-07T19:46:00Z</dcterms:modified>
</cp:coreProperties>
</file>