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Calibri" w:eastAsia="Times New Roman" w:hAnsi="Calibri" w:cs="Calibri"/>
          <w:b/>
          <w:bCs/>
          <w:color w:val="000000"/>
        </w:rPr>
        <w:t>From:</w:t>
      </w:r>
      <w:r w:rsidRPr="00117B14">
        <w:rPr>
          <w:rFonts w:ascii="Calibri" w:eastAsia="Times New Roman" w:hAnsi="Calibri" w:cs="Calibri"/>
          <w:color w:val="000000"/>
        </w:rPr>
        <w:t> </w:t>
      </w:r>
      <w:hyperlink r:id="rId4"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 &lt;</w:t>
      </w:r>
      <w:hyperlink r:id="rId5" w:tgtFrame="_blank" w:history="1">
        <w:r w:rsidRPr="00117B14">
          <w:rPr>
            <w:rFonts w:ascii="Calibri" w:eastAsia="Times New Roman" w:hAnsi="Calibri" w:cs="Calibri"/>
            <w:color w:val="1155CC"/>
            <w:u w:val="single"/>
          </w:rPr>
          <w:t>tpc@msubmit.net</w:t>
        </w:r>
      </w:hyperlink>
      <w:r w:rsidRPr="00117B14">
        <w:rPr>
          <w:rFonts w:ascii="Calibri" w:eastAsia="Times New Roman" w:hAnsi="Calibri" w:cs="Calibri"/>
          <w:color w:val="000000"/>
        </w:rPr>
        <w:t>&gt;</w:t>
      </w:r>
      <w:r w:rsidRPr="00117B14">
        <w:rPr>
          <w:rFonts w:ascii="Calibri" w:eastAsia="Times New Roman" w:hAnsi="Calibri" w:cs="Calibri"/>
          <w:color w:val="000000"/>
        </w:rPr>
        <w:br/>
      </w:r>
      <w:r w:rsidRPr="00117B14">
        <w:rPr>
          <w:rFonts w:ascii="Calibri" w:eastAsia="Times New Roman" w:hAnsi="Calibri" w:cs="Calibri"/>
          <w:b/>
          <w:bCs/>
          <w:color w:val="000000"/>
        </w:rPr>
        <w:t>Sent:</w:t>
      </w:r>
      <w:r w:rsidRPr="00117B14">
        <w:rPr>
          <w:rFonts w:ascii="Calibri" w:eastAsia="Times New Roman" w:hAnsi="Calibri" w:cs="Calibri"/>
          <w:color w:val="000000"/>
        </w:rPr>
        <w:t> Thursday, September 27, 2018 12:41:23 AM</w:t>
      </w:r>
      <w:r w:rsidRPr="00117B14">
        <w:rPr>
          <w:rFonts w:ascii="Calibri" w:eastAsia="Times New Roman" w:hAnsi="Calibri" w:cs="Calibri"/>
          <w:color w:val="000000"/>
        </w:rPr>
        <w:br/>
      </w:r>
      <w:r w:rsidRPr="00117B14">
        <w:rPr>
          <w:rFonts w:ascii="Calibri" w:eastAsia="Times New Roman" w:hAnsi="Calibri" w:cs="Calibri"/>
          <w:b/>
          <w:bCs/>
          <w:color w:val="000000"/>
        </w:rPr>
        <w:t>To:</w:t>
      </w:r>
      <w:r w:rsidRPr="00117B14">
        <w:rPr>
          <w:rFonts w:ascii="Calibri" w:eastAsia="Times New Roman" w:hAnsi="Calibri" w:cs="Calibri"/>
          <w:color w:val="000000"/>
        </w:rPr>
        <w:t> Dan Kliebenstein</w:t>
      </w:r>
      <w:r w:rsidRPr="00117B14">
        <w:rPr>
          <w:rFonts w:ascii="Calibri" w:eastAsia="Times New Roman" w:hAnsi="Calibri" w:cs="Calibri"/>
          <w:color w:val="000000"/>
        </w:rPr>
        <w:br/>
      </w:r>
      <w:r w:rsidRPr="00117B14">
        <w:rPr>
          <w:rFonts w:ascii="Calibri" w:eastAsia="Times New Roman" w:hAnsi="Calibri" w:cs="Calibri"/>
          <w:b/>
          <w:bCs/>
          <w:color w:val="000000"/>
        </w:rPr>
        <w:t>Cc:</w:t>
      </w:r>
      <w:r w:rsidRPr="00117B14">
        <w:rPr>
          <w:rFonts w:ascii="Calibri" w:eastAsia="Times New Roman" w:hAnsi="Calibri" w:cs="Calibri"/>
          <w:color w:val="000000"/>
        </w:rPr>
        <w:t> </w:t>
      </w:r>
      <w:hyperlink r:id="rId6" w:tgtFrame="_blank" w:history="1">
        <w:r w:rsidRPr="00117B14">
          <w:rPr>
            <w:rFonts w:ascii="Calibri" w:eastAsia="Times New Roman" w:hAnsi="Calibri" w:cs="Calibri"/>
            <w:color w:val="1155CC"/>
            <w:u w:val="single"/>
          </w:rPr>
          <w:t>akessler@aspb.org</w:t>
        </w:r>
      </w:hyperlink>
      <w:r w:rsidRPr="00117B14">
        <w:rPr>
          <w:rFonts w:ascii="Calibri" w:eastAsia="Times New Roman" w:hAnsi="Calibri" w:cs="Calibri"/>
          <w:color w:val="000000"/>
        </w:rPr>
        <w:t>; </w:t>
      </w:r>
      <w:hyperlink r:id="rId7" w:tgtFrame="_blank" w:history="1">
        <w:r w:rsidRPr="00117B14">
          <w:rPr>
            <w:rFonts w:ascii="Calibri" w:eastAsia="Times New Roman" w:hAnsi="Calibri" w:cs="Calibri"/>
            <w:color w:val="1155CC"/>
            <w:u w:val="single"/>
          </w:rPr>
          <w:t>rinnes@indiana.edu</w:t>
        </w:r>
      </w:hyperlink>
      <w:r w:rsidRPr="00117B14">
        <w:rPr>
          <w:rFonts w:ascii="Calibri" w:eastAsia="Times New Roman" w:hAnsi="Calibri" w:cs="Calibri"/>
          <w:color w:val="000000"/>
        </w:rPr>
        <w:br/>
      </w:r>
      <w:r w:rsidRPr="00117B14">
        <w:rPr>
          <w:rFonts w:ascii="Calibri" w:eastAsia="Times New Roman" w:hAnsi="Calibri" w:cs="Calibri"/>
          <w:b/>
          <w:bCs/>
          <w:color w:val="000000"/>
        </w:rPr>
        <w:t>Subject:</w:t>
      </w:r>
      <w:r w:rsidRPr="00117B14">
        <w:rPr>
          <w:rFonts w:ascii="Calibri" w:eastAsia="Times New Roman" w:hAnsi="Calibri" w:cs="Calibri"/>
          <w:color w:val="000000"/>
        </w:rPr>
        <w:t> TPC2018-RA-00619 - Decision Letter</w:t>
      </w:r>
    </w:p>
    <w:p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 </w:t>
      </w:r>
    </w:p>
    <w:p w:rsidR="00117B14" w:rsidRPr="00117B14" w:rsidRDefault="00117B14" w:rsidP="00117B14">
      <w:pPr>
        <w:shd w:val="clear" w:color="auto" w:fill="FFFFFF"/>
        <w:spacing w:after="0" w:line="240" w:lineRule="auto"/>
        <w:rPr>
          <w:rFonts w:ascii="Arial" w:eastAsia="Times New Roman" w:hAnsi="Arial" w:cs="Arial"/>
          <w:color w:val="222222"/>
          <w:sz w:val="24"/>
          <w:szCs w:val="24"/>
        </w:rPr>
      </w:pPr>
      <w:r w:rsidRPr="00117B14">
        <w:rPr>
          <w:rFonts w:ascii="Arial" w:eastAsia="Times New Roman" w:hAnsi="Arial" w:cs="Arial"/>
          <w:color w:val="222222"/>
          <w:sz w:val="24"/>
          <w:szCs w:val="24"/>
        </w:rPr>
        <w:t>26-Sep-2018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Dr. Daniel J. Kliebenstein </w:t>
      </w:r>
      <w:r w:rsidRPr="00117B14">
        <w:rPr>
          <w:rFonts w:ascii="Arial" w:eastAsia="Times New Roman" w:hAnsi="Arial" w:cs="Arial"/>
          <w:color w:val="222222"/>
          <w:sz w:val="24"/>
          <w:szCs w:val="24"/>
        </w:rPr>
        <w:br/>
        <w:t>University of California </w:t>
      </w:r>
      <w:r w:rsidRPr="00117B14">
        <w:rPr>
          <w:rFonts w:ascii="Arial" w:eastAsia="Times New Roman" w:hAnsi="Arial" w:cs="Arial"/>
          <w:color w:val="222222"/>
          <w:sz w:val="24"/>
          <w:szCs w:val="24"/>
        </w:rPr>
        <w:br/>
        <w:t>Department of Plant Sciences </w:t>
      </w:r>
      <w:r w:rsidRPr="00117B14">
        <w:rPr>
          <w:rFonts w:ascii="Arial" w:eastAsia="Times New Roman" w:hAnsi="Arial" w:cs="Arial"/>
          <w:color w:val="222222"/>
          <w:sz w:val="24"/>
          <w:szCs w:val="24"/>
        </w:rPr>
        <w:br/>
        <w:t>One Shields Avenue </w:t>
      </w:r>
      <w:r w:rsidRPr="00117B14">
        <w:rPr>
          <w:rFonts w:ascii="Arial" w:eastAsia="Times New Roman" w:hAnsi="Arial" w:cs="Arial"/>
          <w:color w:val="222222"/>
          <w:sz w:val="24"/>
          <w:szCs w:val="24"/>
        </w:rPr>
        <w:br/>
        <w:t>Davis, California 95616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Dear Dan: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We also recommend that you integrate data from Zhang et al 2017 (Plant Cell. 29(11):2727-2752) on Botrytis virulence loci with the lesion data in this manuscript in order to assess which Botrytis loci affect virulence on both species and which are host-</w:t>
      </w:r>
      <w:r w:rsidRPr="00117B14">
        <w:rPr>
          <w:rFonts w:ascii="Arial" w:eastAsia="Times New Roman" w:hAnsi="Arial" w:cs="Arial"/>
          <w:color w:val="222222"/>
          <w:sz w:val="24"/>
          <w:szCs w:val="24"/>
        </w:rPr>
        <w:lastRenderedPageBreak/>
        <w:t>specific virulence loci. Is there a a correlation between tomato and Arabidopsis across the 97 isolates in terms of virulence? Either a positive or a negative result would be interesting.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It will be important to convince the editors and reviewers that the study adds significant new understanding of mechanisms or processes and that the major claims made are fully justified by the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We thank you for your interest in and support of The Plant Cell. We wish you good luck with your research and we look forward to seeing future submissions of your work.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On behalf of the editorial board,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Roger Innes, Senior Editor </w:t>
      </w:r>
      <w:r w:rsidRPr="00117B14">
        <w:rPr>
          <w:rFonts w:ascii="Arial" w:eastAsia="Times New Roman" w:hAnsi="Arial" w:cs="Arial"/>
          <w:color w:val="222222"/>
          <w:sz w:val="24"/>
          <w:szCs w:val="24"/>
        </w:rPr>
        <w:br/>
        <w:t>Sabeeha Merchant, Editor-in-Chief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Plant Cell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Reviewer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#1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 of Soltis et al. "Crop domestication and pathogen virulence: interactions of tomato and Botrytis genetic diversity"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This ms describes a study on the genetic basis of pathogen virulence and host defense in an interaction between Botrytis cinera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Over all I find the analyses to be adequately done and the results seem intuitively believable to me. The manuscript is by design rather complex (pathogen lines x host lines x domestication), so my comments below are mainly intended to increase clarity of the ms and to point out some lack of details in the various analyses. This will (hopefully) make the ms simpler to read and make it easier for the reader to digest the results.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The overall data on lesion length was analyses using a general linear model (as described on lines 711-724) and the results are presented in Table 1. First, it is not clear </w:t>
      </w:r>
      <w:r w:rsidRPr="00117B14">
        <w:rPr>
          <w:rFonts w:ascii="Arial" w:eastAsia="Times New Roman" w:hAnsi="Arial" w:cs="Arial"/>
          <w:color w:val="222222"/>
          <w:sz w:val="24"/>
          <w:szCs w:val="24"/>
        </w:rPr>
        <w:lastRenderedPageBreak/>
        <w:t>to me from the M&amp;M section what terms were considered fixed or random in the model. From reading lines 712-714 it seems that all variables were considered as fixed effects, yet the model was supposedly analysed using lme4, which is a package specifically designed for analysing mixed models (i.e. models including both fixed and random effects). In fact the lmer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ms.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ms. Right now the ms lacks justification for keeping this added complexity.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authors also perform the GWA analyses using two different statistical methods, ridge-regression using bigRR and the linear-mixed model approach as implemented in GEMMA. Since bigRR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Also, like with the two reference genomes it is not clear whether the results are different enough using GEMMA or bigRR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Minor comments: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Line 309: "..showed statistically similar variation" - that's not how hypothesis testing works! Lack of significance is not evidence in favour of the null hypothesis. I would </w:t>
      </w:r>
      <w:r w:rsidRPr="00117B14">
        <w:rPr>
          <w:rFonts w:ascii="Arial" w:eastAsia="Times New Roman" w:hAnsi="Arial" w:cs="Arial"/>
          <w:color w:val="222222"/>
          <w:sz w:val="24"/>
          <w:szCs w:val="24"/>
        </w:rPr>
        <w:lastRenderedPageBreak/>
        <w:t>simply drop the work "statistically" in this sentence.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Lines 365 and 368: These two lines both state that two isolates were found to be more virulent on domestic tomato lines. This seems a bit repetitive to me as the two lines are only one sentence apart.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Figure 4b) is rather hard to read. Would it be possible to highlight the points that overlap with the vertical lines, to make them clearer? Right now they are hard to see the points when they overlap with the dashed lines.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Line 467: I'm not sure the phrase "SNP calling between hosts" is a good choice of words here. "SNP calling" is (at least to me) something entirely different from the process of identifying significant SNPs form the GWA analyses (which I think is what the authors intend to say)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Reviewer #2 (Comments for the Author):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Although I am quite enthusiastic about this paper, there are nevertheless several substantial issues that need to be addressed, and there are some places where I thought the paper could be further strengthened.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Major issues.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1. The authors should include more comprehensive description of the Botrytis data set, especially the genetic structure of the collection (e.g. a neighbor-joining tree). Zhang et al 2017 (Plant Cell. 29(11):2727-2752; mis-cited in the references) only gives a table of </w:t>
      </w:r>
      <w:r w:rsidRPr="00117B14">
        <w:rPr>
          <w:rFonts w:ascii="Arial" w:eastAsia="Times New Roman" w:hAnsi="Arial" w:cs="Arial"/>
          <w:color w:val="222222"/>
          <w:sz w:val="24"/>
          <w:szCs w:val="24"/>
        </w:rPr>
        <w:lastRenderedPageBreak/>
        <w:t>isolate origins. Are all isolates genetically distinct members of a pan-mictic population, or do some represent clonal clades? What is the distribution of allele frequencies in the collection across all polymorphic sites? This information is important for assessing the pathogen component of the paper.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2. The title and overall focus of the manuscript are on the effect of domestication. Yet Table 1 shows that domestication accounts for only 0.8% of the total variation in lesion area, and 3.5% of the genetic variation. Another 0.8%/3.7% was attributable to domestication:isolate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t>
      </w:r>
      <w:r w:rsidRPr="00117B14">
        <w:rPr>
          <w:rFonts w:ascii="Arial" w:eastAsia="Times New Roman" w:hAnsi="Arial" w:cs="Arial"/>
          <w:color w:val="222222"/>
          <w:sz w:val="24"/>
          <w:szCs w:val="24"/>
        </w:rPr>
        <w:lastRenderedPageBreak/>
        <w:t>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Lesser points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 xml:space="preserve">8. Lines 138 - 143 "In addition to SNP diversity, the genomic sequencing showed that B. cinerea has a high level of recombination and genomic admixture, as if it were a randomly intermating population. As such, a collection of B. cinerea isolates contains </w:t>
      </w:r>
      <w:r w:rsidRPr="00117B14">
        <w:rPr>
          <w:rFonts w:ascii="Arial" w:eastAsia="Times New Roman" w:hAnsi="Arial" w:cs="Arial"/>
          <w:color w:val="222222"/>
          <w:sz w:val="24"/>
          <w:szCs w:val="24"/>
        </w:rPr>
        <w:lastRenderedPageBreak/>
        <w:t>genetic variation in a wide range of virulence mechanisms, offering the potential to challenge the host with a blend of diverse virulence mechanisms." </w:t>
      </w:r>
      <w:r w:rsidRPr="00117B14">
        <w:rPr>
          <w:rFonts w:ascii="Arial" w:eastAsia="Times New Roman" w:hAnsi="Arial" w:cs="Arial"/>
          <w:color w:val="222222"/>
          <w:sz w:val="24"/>
          <w:szCs w:val="24"/>
        </w:rPr>
        <w:br/>
        <w:t>Where is this documented? No reference is given and the documentation is not found in Zhang et al (2017).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9. Lines 207-208; 214-216. Authors should reference Zhang et al (2017).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Pr="00117B14">
        <w:rPr>
          <w:rFonts w:ascii="Arial" w:eastAsia="Times New Roman" w:hAnsi="Arial" w:cs="Arial"/>
          <w:color w:val="222222"/>
          <w:sz w:val="24"/>
          <w:szCs w:val="24"/>
        </w:rPr>
        <w:br/>
        <w:t>10,000 permutations would be required to more accurately determine a 99.9% threshold.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13. Lines 408-411. "The ridge regression approach (bigRR)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14. Lines 440-441 and Figure 6. If SNP block 5-11 represents the 5'UTR and 13-26 the body of the gene, then isn't the arrow in Fig 6a indicating the direction and startpoint of transcription in the wrong place (3' end instead of 5' end)?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15. Lines 427-447. In addition to the pectinesterase gene, two other glycosyl hydrolases (Bcin14g00850, GH28, polygalacturonases) and (Bcin14g00650, GH_31, alpha-glucosidases, alpha-galactosidases) seem of obvious interest, especially the polygalacturonase. Were these examined in more detail? If so, why not?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16. Lines 484-485. "This had a high degree of overlap between the wild phenotype and domesticated phenotype." What does "This" refer to. Need to clarify.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lastRenderedPageBreak/>
        <w:t>17. Line 661. The references contain an incomplete citation with an incomplete title. The correct citation appears to be "Zhang W, Corwin JA, Copeland D, Feusier J, Eshbaugh R, Chen F, Atwell S, Kliebenstein DJ. Plant Cell. 2017 Nov;29(11):2727-2752. doi: 10.1105/tpc.17.00348. Epub 2017 Oct 17. Plastic Transcriptomes Stabilize Immunity to Pathogen Diversity: The Jasmonic Acid and Salicylic Acid Networks within the Arabidopsis/Botrytis Pathosystem. </w:t>
      </w:r>
      <w:r w:rsidRPr="00117B14">
        <w:rPr>
          <w:rFonts w:ascii="Arial" w:eastAsia="Times New Roman" w:hAnsi="Arial" w:cs="Arial"/>
          <w:color w:val="222222"/>
          <w:sz w:val="24"/>
          <w:szCs w:val="24"/>
        </w:rPr>
        <w:br/>
      </w:r>
      <w:r w:rsidRPr="00117B14">
        <w:rPr>
          <w:rFonts w:ascii="Arial" w:eastAsia="Times New Roman" w:hAnsi="Arial" w:cs="Arial"/>
          <w:color w:val="222222"/>
          <w:sz w:val="24"/>
          <w:szCs w:val="24"/>
        </w:rPr>
        <w:br/>
        <w:t>18. Line 856. "plant phenotype" should read "plant accession". Also, the color coding should be given.</w:t>
      </w:r>
    </w:p>
    <w:p w:rsidR="00A66149" w:rsidRDefault="00A66149">
      <w:bookmarkStart w:id="0" w:name="_GoBack"/>
      <w:bookmarkEnd w:id="0"/>
    </w:p>
    <w:sectPr w:rsidR="00A6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4"/>
    <w:rsid w:val="00117B14"/>
    <w:rsid w:val="00A6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268C9-8A08-4E39-A63B-7CB15E52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65758">
      <w:bodyDiv w:val="1"/>
      <w:marLeft w:val="0"/>
      <w:marRight w:val="0"/>
      <w:marTop w:val="0"/>
      <w:marBottom w:val="0"/>
      <w:divBdr>
        <w:top w:val="none" w:sz="0" w:space="0" w:color="auto"/>
        <w:left w:val="none" w:sz="0" w:space="0" w:color="auto"/>
        <w:bottom w:val="none" w:sz="0" w:space="0" w:color="auto"/>
        <w:right w:val="none" w:sz="0" w:space="0" w:color="auto"/>
      </w:divBdr>
      <w:divsChild>
        <w:div w:id="938367072">
          <w:marLeft w:val="0"/>
          <w:marRight w:val="0"/>
          <w:marTop w:val="0"/>
          <w:marBottom w:val="0"/>
          <w:divBdr>
            <w:top w:val="none" w:sz="0" w:space="0" w:color="auto"/>
            <w:left w:val="none" w:sz="0" w:space="0" w:color="auto"/>
            <w:bottom w:val="none" w:sz="0" w:space="0" w:color="auto"/>
            <w:right w:val="none" w:sz="0" w:space="0" w:color="auto"/>
          </w:divBdr>
          <w:divsChild>
            <w:div w:id="1576933686">
              <w:marLeft w:val="0"/>
              <w:marRight w:val="0"/>
              <w:marTop w:val="0"/>
              <w:marBottom w:val="0"/>
              <w:divBdr>
                <w:top w:val="none" w:sz="0" w:space="0" w:color="auto"/>
                <w:left w:val="none" w:sz="0" w:space="0" w:color="auto"/>
                <w:bottom w:val="none" w:sz="0" w:space="0" w:color="auto"/>
                <w:right w:val="none" w:sz="0" w:space="0" w:color="auto"/>
              </w:divBdr>
            </w:div>
          </w:divsChild>
        </w:div>
        <w:div w:id="200627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innes@indian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essler@aspb.org" TargetMode="External"/><Relationship Id="rId5" Type="http://schemas.openxmlformats.org/officeDocument/2006/relationships/hyperlink" Target="mailto:tpc@msubmit.net" TargetMode="External"/><Relationship Id="rId4" Type="http://schemas.openxmlformats.org/officeDocument/2006/relationships/hyperlink" Target="mailto:tpc@msubmit.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2018-09-27T18:05:00Z</dcterms:created>
  <dcterms:modified xsi:type="dcterms:W3CDTF">2018-09-27T18:07:00Z</dcterms:modified>
</cp:coreProperties>
</file>