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3DD27" w14:textId="40314D04" w:rsidR="00DA517F" w:rsidRDefault="00DA517F" w:rsidP="008204B1">
      <w:pPr>
        <w:spacing w:after="0" w:line="240" w:lineRule="auto"/>
        <w:jc w:val="center"/>
      </w:pPr>
      <w:r>
        <w:t xml:space="preserve">The </w:t>
      </w:r>
      <w:r w:rsidR="008204B1">
        <w:t>G</w:t>
      </w:r>
      <w:r>
        <w:t xml:space="preserve">enetics of </w:t>
      </w:r>
      <w:r w:rsidR="008204B1">
        <w:t>Q</w:t>
      </w:r>
      <w:r>
        <w:t xml:space="preserve">uantitative </w:t>
      </w:r>
      <w:r w:rsidR="008204B1">
        <w:t>P</w:t>
      </w:r>
      <w:r w:rsidR="004F4A89">
        <w:t xml:space="preserve">lant </w:t>
      </w:r>
      <w:r w:rsidR="008204B1">
        <w:t>P</w:t>
      </w:r>
      <w:r w:rsidR="004F4A89">
        <w:t>athology</w:t>
      </w:r>
      <w:r>
        <w:t xml:space="preserve">: </w:t>
      </w:r>
      <w:r w:rsidRPr="008B27EA">
        <w:rPr>
          <w:i/>
        </w:rPr>
        <w:t>Botrytis</w:t>
      </w:r>
      <w:r w:rsidR="000C5FF2" w:rsidRPr="008B27EA">
        <w:rPr>
          <w:i/>
        </w:rPr>
        <w:t xml:space="preserve"> </w:t>
      </w:r>
      <w:r w:rsidR="008204B1" w:rsidRPr="008B27EA">
        <w:rPr>
          <w:i/>
        </w:rPr>
        <w:t>c</w:t>
      </w:r>
      <w:r w:rsidR="000C5FF2" w:rsidRPr="008B27EA">
        <w:rPr>
          <w:i/>
        </w:rPr>
        <w:t>inerea</w:t>
      </w:r>
      <w:r>
        <w:t xml:space="preserve"> </w:t>
      </w:r>
      <w:r w:rsidR="008204B1">
        <w:t>G</w:t>
      </w:r>
      <w:r>
        <w:t xml:space="preserve">enetic </w:t>
      </w:r>
      <w:r w:rsidR="008204B1">
        <w:t>C</w:t>
      </w:r>
      <w:r>
        <w:t xml:space="preserve">ontrol of </w:t>
      </w:r>
      <w:r w:rsidR="008204B1">
        <w:t>P</w:t>
      </w:r>
      <w:r>
        <w:t xml:space="preserve">athogen and </w:t>
      </w:r>
      <w:r w:rsidR="008204B1">
        <w:t>H</w:t>
      </w:r>
      <w:r>
        <w:t xml:space="preserve">ost </w:t>
      </w:r>
      <w:r w:rsidR="008204B1">
        <w:t>D</w:t>
      </w:r>
      <w:r w:rsidR="00D05EE8">
        <w:t>isease</w:t>
      </w:r>
      <w:r>
        <w:t xml:space="preserve"> </w:t>
      </w:r>
      <w:r w:rsidR="008204B1">
        <w:t>P</w:t>
      </w:r>
      <w:r>
        <w:t>henotypes</w:t>
      </w:r>
    </w:p>
    <w:p w14:paraId="3E645C2F" w14:textId="2B3146B9" w:rsidR="008204B1" w:rsidRDefault="008204B1" w:rsidP="008204B1">
      <w:pPr>
        <w:spacing w:after="0" w:line="240" w:lineRule="auto"/>
        <w:jc w:val="center"/>
      </w:pPr>
    </w:p>
    <w:p w14:paraId="1C730445" w14:textId="0792B934" w:rsidR="008204B1" w:rsidRDefault="008204B1" w:rsidP="008204B1">
      <w:pPr>
        <w:spacing w:after="0" w:line="240" w:lineRule="auto"/>
        <w:jc w:val="center"/>
      </w:pPr>
      <w:r>
        <w:t>By</w:t>
      </w:r>
    </w:p>
    <w:p w14:paraId="22D7B0EF" w14:textId="47AB8306" w:rsidR="008204B1" w:rsidRDefault="008204B1" w:rsidP="008204B1">
      <w:pPr>
        <w:spacing w:after="0" w:line="240" w:lineRule="auto"/>
        <w:jc w:val="center"/>
      </w:pPr>
    </w:p>
    <w:p w14:paraId="19CE563C" w14:textId="062F74D8" w:rsidR="008204B1" w:rsidRDefault="008204B1" w:rsidP="008204B1">
      <w:pPr>
        <w:spacing w:after="0" w:line="240" w:lineRule="auto"/>
        <w:jc w:val="center"/>
      </w:pPr>
      <w:r>
        <w:t>NICOLE SOLTIS</w:t>
      </w:r>
    </w:p>
    <w:p w14:paraId="6C6FBA4E" w14:textId="65CDD963" w:rsidR="008204B1" w:rsidRDefault="008204B1" w:rsidP="008204B1">
      <w:pPr>
        <w:spacing w:after="0" w:line="240" w:lineRule="auto"/>
        <w:jc w:val="center"/>
      </w:pPr>
      <w:r>
        <w:t>DISSERTATION</w:t>
      </w:r>
    </w:p>
    <w:p w14:paraId="25199D9B" w14:textId="62C019B3" w:rsidR="008204B1" w:rsidRDefault="008204B1" w:rsidP="008204B1">
      <w:pPr>
        <w:spacing w:after="0" w:line="240" w:lineRule="auto"/>
        <w:jc w:val="center"/>
      </w:pPr>
    </w:p>
    <w:p w14:paraId="7EA6D26C" w14:textId="427858A2" w:rsidR="008204B1" w:rsidRDefault="008204B1" w:rsidP="008204B1">
      <w:pPr>
        <w:spacing w:after="0" w:line="240" w:lineRule="auto"/>
        <w:jc w:val="center"/>
      </w:pPr>
      <w:r>
        <w:t>Submitted in partial satisfaction of the requirements for the degree of</w:t>
      </w:r>
    </w:p>
    <w:p w14:paraId="1DED09DB" w14:textId="299FE995" w:rsidR="008204B1" w:rsidRDefault="008204B1" w:rsidP="008204B1">
      <w:pPr>
        <w:spacing w:after="0" w:line="240" w:lineRule="auto"/>
        <w:jc w:val="center"/>
      </w:pPr>
    </w:p>
    <w:p w14:paraId="76D0B67E" w14:textId="638BD699" w:rsidR="008204B1" w:rsidRDefault="008204B1" w:rsidP="008204B1">
      <w:pPr>
        <w:spacing w:after="0" w:line="240" w:lineRule="auto"/>
        <w:jc w:val="center"/>
      </w:pPr>
      <w:r>
        <w:t>DOCTOR OF PHILOSOPHY</w:t>
      </w:r>
    </w:p>
    <w:p w14:paraId="06B491DD" w14:textId="584C7C70" w:rsidR="008204B1" w:rsidRDefault="008204B1" w:rsidP="008204B1">
      <w:pPr>
        <w:spacing w:after="0" w:line="240" w:lineRule="auto"/>
        <w:jc w:val="center"/>
      </w:pPr>
    </w:p>
    <w:p w14:paraId="3CA63154" w14:textId="2C95D9B6" w:rsidR="008204B1" w:rsidRDefault="008204B1" w:rsidP="008204B1">
      <w:pPr>
        <w:spacing w:after="0" w:line="240" w:lineRule="auto"/>
        <w:jc w:val="center"/>
      </w:pPr>
      <w:r>
        <w:t>in</w:t>
      </w:r>
    </w:p>
    <w:p w14:paraId="0BCDEAEB" w14:textId="75B9FE01" w:rsidR="008204B1" w:rsidRDefault="008204B1" w:rsidP="008204B1">
      <w:pPr>
        <w:spacing w:after="0" w:line="240" w:lineRule="auto"/>
        <w:jc w:val="center"/>
      </w:pPr>
    </w:p>
    <w:p w14:paraId="7B5254E3" w14:textId="493BDB10" w:rsidR="008204B1" w:rsidRDefault="008204B1" w:rsidP="008204B1">
      <w:pPr>
        <w:spacing w:after="0" w:line="240" w:lineRule="auto"/>
        <w:jc w:val="center"/>
      </w:pPr>
      <w:r>
        <w:t>Plant Biology</w:t>
      </w:r>
    </w:p>
    <w:p w14:paraId="184FD7DF" w14:textId="667E45CD" w:rsidR="008204B1" w:rsidRDefault="008204B1" w:rsidP="008204B1">
      <w:pPr>
        <w:spacing w:after="0" w:line="240" w:lineRule="auto"/>
        <w:jc w:val="center"/>
      </w:pPr>
    </w:p>
    <w:p w14:paraId="1548B06D" w14:textId="598AE0A9" w:rsidR="008204B1" w:rsidRDefault="008204B1" w:rsidP="008204B1">
      <w:pPr>
        <w:spacing w:after="0" w:line="240" w:lineRule="auto"/>
        <w:jc w:val="center"/>
      </w:pPr>
      <w:r>
        <w:t>in the</w:t>
      </w:r>
    </w:p>
    <w:p w14:paraId="7921CEE0" w14:textId="3FD996E6" w:rsidR="008204B1" w:rsidRDefault="008204B1" w:rsidP="008204B1">
      <w:pPr>
        <w:spacing w:after="0" w:line="240" w:lineRule="auto"/>
        <w:jc w:val="center"/>
      </w:pPr>
    </w:p>
    <w:p w14:paraId="197ED7CA" w14:textId="4C8B9821" w:rsidR="008204B1" w:rsidRDefault="008204B1" w:rsidP="008204B1">
      <w:pPr>
        <w:spacing w:after="0" w:line="240" w:lineRule="auto"/>
        <w:jc w:val="center"/>
      </w:pPr>
      <w:r>
        <w:t>OFFICE OF GRADUATE STUDIES</w:t>
      </w:r>
    </w:p>
    <w:p w14:paraId="22580EB2" w14:textId="27387AF0" w:rsidR="008204B1" w:rsidRDefault="008204B1" w:rsidP="008204B1">
      <w:pPr>
        <w:spacing w:after="0" w:line="240" w:lineRule="auto"/>
        <w:jc w:val="center"/>
      </w:pPr>
    </w:p>
    <w:p w14:paraId="3CD10C79" w14:textId="4C8EE7DD" w:rsidR="008204B1" w:rsidRDefault="008204B1" w:rsidP="008204B1">
      <w:pPr>
        <w:spacing w:after="0" w:line="240" w:lineRule="auto"/>
        <w:jc w:val="center"/>
      </w:pPr>
      <w:r>
        <w:t>of the</w:t>
      </w:r>
    </w:p>
    <w:p w14:paraId="0872A6DD" w14:textId="31781BDE" w:rsidR="008204B1" w:rsidRDefault="008204B1" w:rsidP="008204B1">
      <w:pPr>
        <w:spacing w:after="0" w:line="240" w:lineRule="auto"/>
        <w:jc w:val="center"/>
      </w:pPr>
    </w:p>
    <w:p w14:paraId="67D1D43C" w14:textId="40A4874D" w:rsidR="008204B1" w:rsidRDefault="008204B1" w:rsidP="008204B1">
      <w:pPr>
        <w:spacing w:after="0" w:line="240" w:lineRule="auto"/>
        <w:jc w:val="center"/>
      </w:pPr>
      <w:r>
        <w:t>UNIVERSITY OF CALIFORNIA</w:t>
      </w:r>
    </w:p>
    <w:p w14:paraId="02E75CD5" w14:textId="00E11247" w:rsidR="008204B1" w:rsidRDefault="008204B1" w:rsidP="008204B1">
      <w:pPr>
        <w:spacing w:after="0" w:line="240" w:lineRule="auto"/>
        <w:jc w:val="center"/>
      </w:pPr>
    </w:p>
    <w:p w14:paraId="5586D86E" w14:textId="5D0F5DF6" w:rsidR="008204B1" w:rsidRDefault="008204B1" w:rsidP="008204B1">
      <w:pPr>
        <w:spacing w:after="0" w:line="240" w:lineRule="auto"/>
        <w:jc w:val="center"/>
      </w:pPr>
      <w:r>
        <w:t>DAVIS</w:t>
      </w:r>
    </w:p>
    <w:p w14:paraId="31948228" w14:textId="2951FF91" w:rsidR="008204B1" w:rsidRDefault="008204B1" w:rsidP="008204B1">
      <w:pPr>
        <w:spacing w:after="0" w:line="240" w:lineRule="auto"/>
        <w:jc w:val="center"/>
      </w:pPr>
    </w:p>
    <w:p w14:paraId="49C618A5" w14:textId="75E34BB1" w:rsidR="008204B1" w:rsidRDefault="008204B1" w:rsidP="008204B1">
      <w:pPr>
        <w:spacing w:after="0" w:line="240" w:lineRule="auto"/>
        <w:jc w:val="center"/>
      </w:pPr>
      <w:r>
        <w:t>Approved:</w:t>
      </w:r>
    </w:p>
    <w:p w14:paraId="2BDBCCFF" w14:textId="2A542AAE" w:rsidR="008204B1" w:rsidRDefault="008204B1" w:rsidP="008204B1">
      <w:pPr>
        <w:spacing w:after="0" w:line="240" w:lineRule="auto"/>
        <w:jc w:val="center"/>
      </w:pPr>
    </w:p>
    <w:p w14:paraId="79F61918" w14:textId="227ACBB2" w:rsidR="008204B1" w:rsidRDefault="008204B1" w:rsidP="008204B1">
      <w:pPr>
        <w:spacing w:after="0" w:line="240" w:lineRule="auto"/>
        <w:jc w:val="center"/>
      </w:pPr>
      <w:r>
        <w:t>________________________________________________________</w:t>
      </w:r>
    </w:p>
    <w:p w14:paraId="5BE54161" w14:textId="727D85C8" w:rsidR="008204B1" w:rsidRDefault="008204B1" w:rsidP="008204B1">
      <w:pPr>
        <w:spacing w:after="0" w:line="240" w:lineRule="auto"/>
        <w:jc w:val="center"/>
      </w:pPr>
      <w:r>
        <w:t>(Daniel Kliebenstein, Ph.D.), Chair</w:t>
      </w:r>
    </w:p>
    <w:p w14:paraId="54823840" w14:textId="22B4CCFD" w:rsidR="008B27EA" w:rsidRDefault="008B27EA" w:rsidP="008204B1">
      <w:pPr>
        <w:spacing w:after="0" w:line="240" w:lineRule="auto"/>
        <w:jc w:val="center"/>
      </w:pPr>
    </w:p>
    <w:p w14:paraId="6FB2ED3F" w14:textId="77777777" w:rsidR="008B27EA" w:rsidRDefault="008B27EA" w:rsidP="008B27EA">
      <w:pPr>
        <w:spacing w:after="0" w:line="240" w:lineRule="auto"/>
        <w:jc w:val="center"/>
      </w:pPr>
      <w:r>
        <w:t>________________________________________________________</w:t>
      </w:r>
    </w:p>
    <w:p w14:paraId="3E446B98" w14:textId="51868A74" w:rsidR="008B27EA" w:rsidRDefault="008B27EA" w:rsidP="008B27EA">
      <w:pPr>
        <w:spacing w:after="0" w:line="240" w:lineRule="auto"/>
        <w:jc w:val="center"/>
      </w:pPr>
      <w:r>
        <w:t xml:space="preserve">(Takao </w:t>
      </w:r>
      <w:proofErr w:type="spellStart"/>
      <w:r>
        <w:t>Kasuga</w:t>
      </w:r>
      <w:proofErr w:type="spellEnd"/>
      <w:r>
        <w:t>, Ph.D.)</w:t>
      </w:r>
    </w:p>
    <w:p w14:paraId="0D28C24E" w14:textId="61E07AA9" w:rsidR="008B27EA" w:rsidRDefault="008B27EA" w:rsidP="008204B1">
      <w:pPr>
        <w:spacing w:after="0" w:line="240" w:lineRule="auto"/>
        <w:jc w:val="center"/>
      </w:pPr>
    </w:p>
    <w:p w14:paraId="40076386" w14:textId="77777777" w:rsidR="008B27EA" w:rsidRDefault="008B27EA" w:rsidP="008B27EA">
      <w:pPr>
        <w:spacing w:after="0" w:line="240" w:lineRule="auto"/>
        <w:jc w:val="center"/>
      </w:pPr>
      <w:r>
        <w:t>________________________________________________________</w:t>
      </w:r>
    </w:p>
    <w:p w14:paraId="7681E55E" w14:textId="5F1E568B" w:rsidR="008B27EA" w:rsidRDefault="008B27EA" w:rsidP="008B27EA">
      <w:pPr>
        <w:spacing w:after="0" w:line="240" w:lineRule="auto"/>
        <w:jc w:val="center"/>
      </w:pPr>
      <w:r>
        <w:t>(Daniel Runcie, Ph.D.)</w:t>
      </w:r>
    </w:p>
    <w:p w14:paraId="29EB0956" w14:textId="38D1DEDE" w:rsidR="008B27EA" w:rsidRDefault="008B27EA" w:rsidP="008B27EA">
      <w:pPr>
        <w:spacing w:after="0" w:line="240" w:lineRule="auto"/>
        <w:jc w:val="center"/>
      </w:pPr>
    </w:p>
    <w:p w14:paraId="665FAE15" w14:textId="78ACE898" w:rsidR="008B27EA" w:rsidRDefault="008B27EA" w:rsidP="008B27EA">
      <w:pPr>
        <w:spacing w:after="0" w:line="240" w:lineRule="auto"/>
        <w:jc w:val="center"/>
      </w:pPr>
      <w:r>
        <w:t>Committee in Charge</w:t>
      </w:r>
    </w:p>
    <w:p w14:paraId="1C63FF2A" w14:textId="4340B01F" w:rsidR="008B27EA" w:rsidRDefault="008B27EA" w:rsidP="008B27EA">
      <w:pPr>
        <w:spacing w:after="0" w:line="240" w:lineRule="auto"/>
        <w:jc w:val="center"/>
      </w:pPr>
    </w:p>
    <w:p w14:paraId="23B16224" w14:textId="0D71EE17" w:rsidR="008B27EA" w:rsidRDefault="008B27EA" w:rsidP="008B27EA">
      <w:pPr>
        <w:spacing w:after="0" w:line="240" w:lineRule="auto"/>
        <w:jc w:val="center"/>
      </w:pPr>
      <w:r>
        <w:t>2019</w:t>
      </w:r>
    </w:p>
    <w:p w14:paraId="5E772138" w14:textId="77777777" w:rsidR="00A4122E" w:rsidRDefault="00A4122E" w:rsidP="008204B1">
      <w:pPr>
        <w:spacing w:after="0" w:line="240" w:lineRule="auto"/>
        <w:jc w:val="center"/>
        <w:sectPr w:rsidR="00A4122E">
          <w:footerReference w:type="default" r:id="rId8"/>
          <w:pgSz w:w="12240" w:h="15840"/>
          <w:pgMar w:top="1440" w:right="1440" w:bottom="1440" w:left="1440" w:header="720" w:footer="720" w:gutter="0"/>
          <w:cols w:space="720"/>
          <w:docGrid w:linePitch="360"/>
        </w:sectPr>
      </w:pPr>
    </w:p>
    <w:p w14:paraId="7BCE9A6E" w14:textId="6EE190A6" w:rsidR="008B27EA" w:rsidRDefault="008B27EA" w:rsidP="008204B1">
      <w:pPr>
        <w:spacing w:after="0" w:line="240" w:lineRule="auto"/>
        <w:jc w:val="center"/>
      </w:pPr>
    </w:p>
    <w:p w14:paraId="2645D52C" w14:textId="77777777" w:rsidR="008204B1" w:rsidRDefault="008204B1" w:rsidP="008204B1">
      <w:pPr>
        <w:spacing w:after="0" w:line="240" w:lineRule="auto"/>
      </w:pPr>
    </w:p>
    <w:p w14:paraId="04282A5E" w14:textId="77777777" w:rsidR="008204B1" w:rsidRDefault="008204B1" w:rsidP="008204B1">
      <w:pPr>
        <w:spacing w:after="0" w:line="240" w:lineRule="auto"/>
      </w:pPr>
    </w:p>
    <w:p w14:paraId="1447DE73" w14:textId="77777777" w:rsidR="00A4122E" w:rsidRDefault="008B27EA">
      <w:pPr>
        <w:sectPr w:rsidR="00A4122E">
          <w:footerReference w:type="default" r:id="rId9"/>
          <w:pgSz w:w="12240" w:h="15840"/>
          <w:pgMar w:top="1440" w:right="1440" w:bottom="1440" w:left="1440" w:header="720" w:footer="720" w:gutter="0"/>
          <w:cols w:space="720"/>
          <w:docGrid w:linePitch="360"/>
        </w:sectPr>
      </w:pPr>
      <w:r>
        <w:br w:type="page"/>
      </w:r>
    </w:p>
    <w:p w14:paraId="57361EF2" w14:textId="12D2D1AB" w:rsidR="008B27EA" w:rsidRDefault="008B27EA" w:rsidP="00A4122E">
      <w:pPr>
        <w:spacing w:after="0" w:line="480" w:lineRule="auto"/>
        <w:jc w:val="center"/>
      </w:pPr>
      <w:r>
        <w:lastRenderedPageBreak/>
        <w:t>Table of Contents</w:t>
      </w:r>
    </w:p>
    <w:p w14:paraId="3BBD118A" w14:textId="357B73D0" w:rsidR="008B27EA" w:rsidRDefault="008B27EA" w:rsidP="008B27EA">
      <w:pPr>
        <w:spacing w:after="0" w:line="480" w:lineRule="auto"/>
      </w:pPr>
      <w:r>
        <w:t>1 Abstract ………………………………………………………………………………………………………………………………………………1</w:t>
      </w:r>
    </w:p>
    <w:p w14:paraId="5C16BCF8" w14:textId="42503268" w:rsidR="000807A3" w:rsidRDefault="000807A3" w:rsidP="008B27EA">
      <w:pPr>
        <w:spacing w:after="0" w:line="480" w:lineRule="auto"/>
      </w:pPr>
      <w:r>
        <w:t>2 Acknowledgements …………………………………………………………………………………………………………………………</w:t>
      </w:r>
      <w:proofErr w:type="gramStart"/>
      <w:r>
        <w:t>…..</w:t>
      </w:r>
      <w:proofErr w:type="gramEnd"/>
      <w:r>
        <w:t>3</w:t>
      </w:r>
    </w:p>
    <w:p w14:paraId="51879C03" w14:textId="4654317B" w:rsidR="008B27EA" w:rsidRDefault="000807A3" w:rsidP="008B27EA">
      <w:pPr>
        <w:spacing w:after="0" w:line="480" w:lineRule="auto"/>
      </w:pPr>
      <w:r>
        <w:t>3</w:t>
      </w:r>
      <w:r w:rsidR="008B27EA">
        <w:t xml:space="preserve"> </w:t>
      </w:r>
      <w:r w:rsidR="008B27EA" w:rsidRPr="00190EF9">
        <w:t>Natural variation of plant metabolism: genetic mechanisms, interpretive caveats, evolutionary and mechanistic insights</w:t>
      </w:r>
      <w:r w:rsidR="008B27EA">
        <w:t xml:space="preserve"> ………………………………………………………………………………………………………………………………….</w:t>
      </w:r>
    </w:p>
    <w:p w14:paraId="074219D9" w14:textId="0844D510" w:rsidR="008B27EA" w:rsidRDefault="008B27EA" w:rsidP="008B27EA">
      <w:pPr>
        <w:spacing w:after="0" w:line="480" w:lineRule="auto"/>
      </w:pPr>
      <w:r>
        <w:tab/>
      </w:r>
      <w:r w:rsidR="000807A3">
        <w:t>3</w:t>
      </w:r>
      <w:r>
        <w:t>.1 Manuscript …………………………………………………………………………………………</w:t>
      </w:r>
      <w:proofErr w:type="gramStart"/>
      <w:r>
        <w:t>…</w:t>
      </w:r>
      <w:r w:rsidR="00A4122E">
        <w:t>..</w:t>
      </w:r>
      <w:proofErr w:type="gramEnd"/>
      <w:r>
        <w:t>……………………………</w:t>
      </w:r>
      <w:r w:rsidR="00703B90">
        <w:t>2</w:t>
      </w:r>
    </w:p>
    <w:p w14:paraId="538EF2E5" w14:textId="69BE21B9" w:rsidR="008B27EA" w:rsidRDefault="008B27EA" w:rsidP="008B27EA">
      <w:pPr>
        <w:spacing w:after="0" w:line="480" w:lineRule="auto"/>
      </w:pPr>
      <w:r>
        <w:tab/>
      </w:r>
      <w:r w:rsidR="000807A3">
        <w:t>3</w:t>
      </w:r>
      <w:r>
        <w:t>.2 References ………………………………………………………………………………………………………</w:t>
      </w:r>
      <w:r w:rsidR="00A4122E">
        <w:t>.</w:t>
      </w:r>
      <w:r>
        <w:t>……………….</w:t>
      </w:r>
      <w:r w:rsidR="00703B90">
        <w:t>10</w:t>
      </w:r>
    </w:p>
    <w:p w14:paraId="6A53BD21" w14:textId="045995FB" w:rsidR="00A4122E" w:rsidRDefault="000807A3" w:rsidP="008B27EA">
      <w:pPr>
        <w:spacing w:after="0" w:line="480" w:lineRule="auto"/>
      </w:pPr>
      <w:r>
        <w:t>4</w:t>
      </w:r>
      <w:r w:rsidR="00A4122E">
        <w:t xml:space="preserve"> </w:t>
      </w:r>
      <w:r w:rsidR="00A4122E" w:rsidRPr="00DA517F">
        <w:t xml:space="preserve">Interactions of tomato and </w:t>
      </w:r>
      <w:r w:rsidR="00A4122E" w:rsidRPr="00DA517F">
        <w:rPr>
          <w:i/>
        </w:rPr>
        <w:t>Botrytis</w:t>
      </w:r>
      <w:r w:rsidR="00A4122E">
        <w:rPr>
          <w:i/>
        </w:rPr>
        <w:t xml:space="preserve"> cinerea</w:t>
      </w:r>
      <w:r w:rsidR="00A4122E" w:rsidRPr="00DA517F">
        <w:t xml:space="preserve"> genetic diversity: Parsing the contributions of host differentiation, domestication</w:t>
      </w:r>
      <w:r w:rsidR="00A4122E">
        <w:t>,</w:t>
      </w:r>
      <w:r w:rsidR="00A4122E" w:rsidRPr="00DA517F">
        <w:t xml:space="preserve"> and pathogen variation</w:t>
      </w:r>
      <w:r w:rsidR="00A4122E">
        <w:t xml:space="preserve"> ……………………………………………………………………………</w:t>
      </w:r>
    </w:p>
    <w:p w14:paraId="24A40ECA" w14:textId="2CAFB18D" w:rsidR="00A4122E" w:rsidRDefault="00A4122E" w:rsidP="008B27EA">
      <w:pPr>
        <w:spacing w:after="0" w:line="480" w:lineRule="auto"/>
      </w:pPr>
      <w:r>
        <w:tab/>
      </w:r>
      <w:r w:rsidR="000807A3">
        <w:t>4</w:t>
      </w:r>
      <w:r>
        <w:t>.1 Manuscript …………………………………………………………………………………………</w:t>
      </w:r>
      <w:proofErr w:type="gramStart"/>
      <w:r>
        <w:t>…..</w:t>
      </w:r>
      <w:proofErr w:type="gramEnd"/>
      <w:r>
        <w:t>…………………………</w:t>
      </w:r>
      <w:r w:rsidR="00703B90">
        <w:t>15</w:t>
      </w:r>
    </w:p>
    <w:p w14:paraId="0ABBFABA" w14:textId="0111B63D" w:rsidR="00A4122E" w:rsidRDefault="00A4122E" w:rsidP="00A4122E">
      <w:pPr>
        <w:spacing w:after="0" w:line="480" w:lineRule="auto"/>
      </w:pPr>
      <w:r>
        <w:tab/>
      </w:r>
      <w:r w:rsidR="000807A3">
        <w:t>4</w:t>
      </w:r>
      <w:r>
        <w:t>.2 References ……………………………………………………………………………………………………….……………….</w:t>
      </w:r>
      <w:r w:rsidR="00703B90">
        <w:t>44</w:t>
      </w:r>
      <w:r>
        <w:tab/>
      </w:r>
      <w:r w:rsidR="000807A3">
        <w:t>4</w:t>
      </w:r>
      <w:r>
        <w:t>.3 Supplementary Documents ………………………………………………………………………….………….………..</w:t>
      </w:r>
      <w:r w:rsidR="00703B90">
        <w:t>71</w:t>
      </w:r>
    </w:p>
    <w:p w14:paraId="6D0FDF3C" w14:textId="6427812E" w:rsidR="00A4122E" w:rsidRDefault="000807A3" w:rsidP="00A4122E">
      <w:pPr>
        <w:spacing w:after="0" w:line="480" w:lineRule="auto"/>
      </w:pPr>
      <w:r>
        <w:t>5</w:t>
      </w:r>
      <w:r w:rsidR="00A4122E">
        <w:t xml:space="preserve"> Pathogen genetic control of transcriptome variation in the </w:t>
      </w:r>
      <w:r w:rsidR="00A4122E" w:rsidRPr="00DA517F">
        <w:rPr>
          <w:i/>
        </w:rPr>
        <w:t>Arabidopsis thaliana</w:t>
      </w:r>
      <w:r w:rsidR="00A4122E">
        <w:t xml:space="preserve"> – </w:t>
      </w:r>
      <w:r w:rsidR="00A4122E" w:rsidRPr="00DA517F">
        <w:rPr>
          <w:i/>
        </w:rPr>
        <w:t xml:space="preserve">Botrytis cinerea </w:t>
      </w:r>
      <w:r w:rsidR="00A4122E">
        <w:t>pathosystem …………………………………………………………………………………………………………………………………………….</w:t>
      </w:r>
    </w:p>
    <w:p w14:paraId="4FC4FECA" w14:textId="6DD879F1" w:rsidR="00A4122E" w:rsidRDefault="00A4122E" w:rsidP="00A4122E">
      <w:pPr>
        <w:spacing w:after="0" w:line="480" w:lineRule="auto"/>
      </w:pPr>
      <w:r>
        <w:tab/>
      </w:r>
      <w:r w:rsidR="000807A3">
        <w:t>5</w:t>
      </w:r>
      <w:r>
        <w:t>.1 Manuscript …………………………………………………………………………………………</w:t>
      </w:r>
      <w:proofErr w:type="gramStart"/>
      <w:r>
        <w:t>…..</w:t>
      </w:r>
      <w:proofErr w:type="gramEnd"/>
      <w:r>
        <w:t>…………………………</w:t>
      </w:r>
      <w:r w:rsidR="00703B90">
        <w:t>84</w:t>
      </w:r>
    </w:p>
    <w:p w14:paraId="536F62D3" w14:textId="18BBBFFD" w:rsidR="00A4122E" w:rsidRDefault="00A4122E" w:rsidP="00A4122E">
      <w:pPr>
        <w:spacing w:after="0" w:line="480" w:lineRule="auto"/>
      </w:pPr>
      <w:r>
        <w:tab/>
      </w:r>
      <w:r w:rsidR="000807A3">
        <w:t>5</w:t>
      </w:r>
      <w:r>
        <w:t>.2 References ……………………………………………………………………………………………………….………………….X</w:t>
      </w:r>
    </w:p>
    <w:p w14:paraId="732F1184" w14:textId="0CC4D343" w:rsidR="00A4122E" w:rsidRDefault="00A4122E" w:rsidP="00A4122E">
      <w:pPr>
        <w:spacing w:after="0" w:line="480" w:lineRule="auto"/>
      </w:pPr>
      <w:r>
        <w:tab/>
      </w:r>
      <w:r w:rsidR="000807A3">
        <w:t>5</w:t>
      </w:r>
      <w:r>
        <w:t>.3 Supplementary Documents ………………………………………………………………………….…………….………..X</w:t>
      </w:r>
    </w:p>
    <w:p w14:paraId="276DDC30" w14:textId="77777777" w:rsidR="00A4122E" w:rsidRDefault="00A4122E">
      <w:pPr>
        <w:sectPr w:rsidR="00A4122E">
          <w:footerReference w:type="default" r:id="rId10"/>
          <w:pgSz w:w="12240" w:h="15840"/>
          <w:pgMar w:top="1440" w:right="1440" w:bottom="1440" w:left="1440" w:header="720" w:footer="720" w:gutter="0"/>
          <w:cols w:space="720"/>
          <w:docGrid w:linePitch="360"/>
        </w:sectPr>
      </w:pPr>
      <w:r>
        <w:br w:type="page"/>
      </w:r>
    </w:p>
    <w:p w14:paraId="6DEFECD0" w14:textId="75520B81" w:rsidR="00A4122E" w:rsidRDefault="00A4122E">
      <w:r>
        <w:lastRenderedPageBreak/>
        <w:t>ABSTRACT</w:t>
      </w:r>
    </w:p>
    <w:p w14:paraId="67904D2C" w14:textId="0C1C998F" w:rsidR="00496B02" w:rsidRDefault="00496B02">
      <w:bookmarkStart w:id="0" w:name="_GoBack"/>
      <w:r>
        <w:t xml:space="preserve">Much of what is known in the genetic basis of plant disease comes from studies of large-effect loci for plant defense and pathogen virulence, which often evolve from reciprocal gene for gene adaptation in specialist plant pathogen systems. However, significant quantitative natural variation in disease interactions is controlled by numerous small effect loci dispersed across the genome. </w:t>
      </w:r>
      <w:r w:rsidR="00155F6E">
        <w:t xml:space="preserve">Studies of natural variation of the plant side are </w:t>
      </w:r>
      <w:r w:rsidR="00306059">
        <w:t>elucidating quantitative genetics of the plant resistance through genome wide association (GWA). However, studies of the pathogen side of the interaction are extremely sparse, partially due to a lack of genetic resources</w:t>
      </w:r>
      <w:r w:rsidR="001F71F6">
        <w:t xml:space="preserve">. In fact, the majority of plant pathogen research selects a single pathogen genotype as the focus of </w:t>
      </w:r>
      <w:proofErr w:type="gramStart"/>
      <w:r w:rsidR="001F71F6">
        <w:t>research, and</w:t>
      </w:r>
      <w:proofErr w:type="gramEnd"/>
      <w:r w:rsidR="001F71F6">
        <w:t xml:space="preserve"> strives to generalize findings to the diversity within a pathogen species. Particularly for diverse, generalist pathogen species, this restricted view may hinder efforts to breed durable resistance in plant hosts. </w:t>
      </w:r>
    </w:p>
    <w:p w14:paraId="207634D1" w14:textId="71D4E7D3" w:rsidR="00492FB5" w:rsidRDefault="00850679">
      <w:r>
        <w:t xml:space="preserve">I first review the current literature in the quantitative genetics </w:t>
      </w:r>
      <w:r w:rsidR="001123E4">
        <w:t xml:space="preserve">of </w:t>
      </w:r>
      <w:r w:rsidR="00680F7F">
        <w:t xml:space="preserve">metabolic and expression variation in the plant, including disease responses. </w:t>
      </w:r>
      <w:r w:rsidR="00322CA2">
        <w:t xml:space="preserve">Major findings include the separation of genetic mechanism from metabolic response by transport pathways, and the connection between </w:t>
      </w:r>
      <w:r w:rsidR="0024182E">
        <w:t xml:space="preserve">organellar genetic variation and organismal metabolism. </w:t>
      </w:r>
    </w:p>
    <w:p w14:paraId="24840BEF" w14:textId="27670E8C" w:rsidR="00492FB5" w:rsidRDefault="001F71F6">
      <w:r>
        <w:t xml:space="preserve">Throughout my dissertation research, I utilize the resource of a </w:t>
      </w:r>
      <w:proofErr w:type="spellStart"/>
      <w:r>
        <w:t>resequenced</w:t>
      </w:r>
      <w:proofErr w:type="spellEnd"/>
      <w:r>
        <w:t xml:space="preserve"> population of 96 diverse Botrytis cinerea isolates collected from diverse host species and geographic origins. I use two methods and two genome alignments to correlate phenotypic diversity to SNP information across XX loci. As such, I identify candidate genes for the control of B. cinerea lesion size on tomato, and the control of gene expression in both host and pathogen for the A. thaliana x B. cinerea pathosystem. In whole, this research tests a matrix of XX phenotype – SNP connections and identifies XX loci in the pathogen genome of </w:t>
      </w:r>
      <w:proofErr w:type="gramStart"/>
      <w:r>
        <w:t>particular interest</w:t>
      </w:r>
      <w:proofErr w:type="gramEnd"/>
      <w:r>
        <w:t xml:space="preserve"> for virulence research.</w:t>
      </w:r>
    </w:p>
    <w:p w14:paraId="6EEB5789" w14:textId="1A9DD2B5" w:rsidR="003A6D6A" w:rsidRDefault="003A6D6A">
      <w:r>
        <w:t>Plant domestication is hypothesized to alter the interaction between plant and pathogen</w:t>
      </w:r>
      <w:r w:rsidR="00D45079">
        <w:t xml:space="preserve">, potentially due to reduction of genetic diversity in the domestication bottleneck. </w:t>
      </w:r>
    </w:p>
    <w:bookmarkEnd w:id="0"/>
    <w:p w14:paraId="704DCF23" w14:textId="77777777" w:rsidR="001F71F6" w:rsidRDefault="001F71F6"/>
    <w:p w14:paraId="4C49D41B" w14:textId="77777777" w:rsidR="004E24BB" w:rsidRDefault="004E24BB" w:rsidP="004E24BB">
      <w:pPr>
        <w:autoSpaceDE w:val="0"/>
        <w:autoSpaceDN w:val="0"/>
        <w:adjustRightInd w:val="0"/>
        <w:spacing w:after="0" w:line="240" w:lineRule="auto"/>
        <w:rPr>
          <w:rFonts w:ascii="AdvOTb319c559" w:hAnsi="AdvOTb319c559" w:cs="AdvOTb319c559"/>
          <w:sz w:val="18"/>
          <w:szCs w:val="18"/>
        </w:rPr>
      </w:pPr>
      <w:r>
        <w:t xml:space="preserve">1. </w:t>
      </w:r>
      <w:r>
        <w:rPr>
          <w:rFonts w:ascii="AdvOTb319c559" w:hAnsi="AdvOTb319c559" w:cs="AdvOTb319c559"/>
          <w:sz w:val="18"/>
          <w:szCs w:val="18"/>
        </w:rPr>
        <w:t>Combining quantitative genetics studies with metabolomics/metabolic pro</w:t>
      </w:r>
      <w:r>
        <w:rPr>
          <w:rFonts w:ascii="AdvOTb319c559+fb" w:hAnsi="AdvOTb319c559+fb" w:cs="AdvOTb319c559+fb"/>
          <w:sz w:val="18"/>
          <w:szCs w:val="18"/>
        </w:rPr>
        <w:t>fi</w:t>
      </w:r>
      <w:r>
        <w:rPr>
          <w:rFonts w:ascii="AdvOTb319c559" w:hAnsi="AdvOTb319c559" w:cs="AdvOTb319c559"/>
          <w:sz w:val="18"/>
          <w:szCs w:val="18"/>
        </w:rPr>
        <w:t>ling platforms, genomics, and transcriptomics is</w:t>
      </w:r>
    </w:p>
    <w:p w14:paraId="475AF303" w14:textId="77777777" w:rsidR="004E24BB" w:rsidRDefault="004E24BB" w:rsidP="004E24BB">
      <w:pPr>
        <w:autoSpaceDE w:val="0"/>
        <w:autoSpaceDN w:val="0"/>
        <w:adjustRightInd w:val="0"/>
        <w:spacing w:after="0" w:line="240" w:lineRule="auto"/>
        <w:rPr>
          <w:rFonts w:ascii="AdvOTb319c559" w:hAnsi="AdvOTb319c559" w:cs="AdvOTb319c559"/>
          <w:sz w:val="18"/>
          <w:szCs w:val="18"/>
        </w:rPr>
      </w:pPr>
      <w:r>
        <w:rPr>
          <w:rFonts w:ascii="AdvOTb319c559" w:hAnsi="AdvOTb319c559" w:cs="AdvOTb319c559"/>
          <w:sz w:val="18"/>
          <w:szCs w:val="18"/>
        </w:rPr>
        <w:t>creating signi</w:t>
      </w:r>
      <w:r>
        <w:rPr>
          <w:rFonts w:ascii="AdvOTb319c559+fb" w:hAnsi="AdvOTb319c559+fb" w:cs="AdvOTb319c559+fb"/>
          <w:sz w:val="18"/>
          <w:szCs w:val="18"/>
        </w:rPr>
        <w:t>fi</w:t>
      </w:r>
      <w:r>
        <w:rPr>
          <w:rFonts w:ascii="AdvOTb319c559" w:hAnsi="AdvOTb319c559" w:cs="AdvOTb319c559"/>
          <w:sz w:val="18"/>
          <w:szCs w:val="18"/>
        </w:rPr>
        <w:t>cant progress in identifying the causal genes controlling natural variation in metabolite accumulations and</w:t>
      </w:r>
    </w:p>
    <w:p w14:paraId="0729A6D1" w14:textId="77777777" w:rsidR="004E24BB" w:rsidRDefault="004E24BB" w:rsidP="004E24BB">
      <w:pPr>
        <w:autoSpaceDE w:val="0"/>
        <w:autoSpaceDN w:val="0"/>
        <w:adjustRightInd w:val="0"/>
        <w:spacing w:after="0" w:line="240" w:lineRule="auto"/>
        <w:rPr>
          <w:rFonts w:ascii="AdvOTb319c559" w:hAnsi="AdvOTb319c559" w:cs="AdvOTb319c559"/>
          <w:sz w:val="18"/>
          <w:szCs w:val="18"/>
        </w:rPr>
      </w:pPr>
      <w:r>
        <w:rPr>
          <w:rFonts w:ascii="AdvOTb319c559" w:hAnsi="AdvOTb319c559" w:cs="AdvOTb319c559"/>
          <w:sz w:val="18"/>
          <w:szCs w:val="18"/>
        </w:rPr>
        <w:t>pro</w:t>
      </w:r>
      <w:r>
        <w:rPr>
          <w:rFonts w:ascii="AdvOTb319c559+fb" w:hAnsi="AdvOTb319c559+fb" w:cs="AdvOTb319c559+fb"/>
          <w:sz w:val="18"/>
          <w:szCs w:val="18"/>
        </w:rPr>
        <w:t>fi</w:t>
      </w:r>
      <w:r>
        <w:rPr>
          <w:rFonts w:ascii="AdvOTb319c559" w:hAnsi="AdvOTb319c559" w:cs="AdvOTb319c559"/>
          <w:sz w:val="18"/>
          <w:szCs w:val="18"/>
        </w:rPr>
        <w:t>les. In this review, we discuss key mechanistic and evolutionary insights that are arising from these studies. This includes</w:t>
      </w:r>
    </w:p>
    <w:p w14:paraId="63F1428A" w14:textId="77777777" w:rsidR="004E24BB" w:rsidRDefault="004E24BB" w:rsidP="004E24BB">
      <w:pPr>
        <w:autoSpaceDE w:val="0"/>
        <w:autoSpaceDN w:val="0"/>
        <w:adjustRightInd w:val="0"/>
        <w:spacing w:after="0" w:line="240" w:lineRule="auto"/>
        <w:rPr>
          <w:rFonts w:ascii="AdvOTb319c559" w:hAnsi="AdvOTb319c559" w:cs="AdvOTb319c559"/>
          <w:sz w:val="18"/>
          <w:szCs w:val="18"/>
        </w:rPr>
      </w:pPr>
      <w:r>
        <w:rPr>
          <w:rFonts w:ascii="AdvOTb319c559" w:hAnsi="AdvOTb319c559" w:cs="AdvOTb319c559"/>
          <w:sz w:val="18"/>
          <w:szCs w:val="18"/>
        </w:rPr>
        <w:t>the potential role of transport and other processes in leading to a separation of the site of mechanistic causation and metabolic</w:t>
      </w:r>
    </w:p>
    <w:p w14:paraId="3992A530" w14:textId="77777777" w:rsidR="004E24BB" w:rsidRDefault="004E24BB" w:rsidP="004E24BB">
      <w:pPr>
        <w:autoSpaceDE w:val="0"/>
        <w:autoSpaceDN w:val="0"/>
        <w:adjustRightInd w:val="0"/>
        <w:spacing w:after="0" w:line="240" w:lineRule="auto"/>
        <w:rPr>
          <w:rFonts w:ascii="AdvOTb319c559" w:hAnsi="AdvOTb319c559" w:cs="AdvOTb319c559"/>
          <w:sz w:val="18"/>
          <w:szCs w:val="18"/>
        </w:rPr>
      </w:pPr>
      <w:r>
        <w:rPr>
          <w:rFonts w:ascii="AdvOTb319c559" w:hAnsi="AdvOTb319c559" w:cs="AdvOTb319c559"/>
          <w:sz w:val="18"/>
          <w:szCs w:val="18"/>
        </w:rPr>
        <w:t xml:space="preserve">consequence. A </w:t>
      </w:r>
      <w:proofErr w:type="spellStart"/>
      <w:r>
        <w:rPr>
          <w:rFonts w:ascii="AdvOTb319c559" w:hAnsi="AdvOTb319c559" w:cs="AdvOTb319c559"/>
          <w:sz w:val="18"/>
          <w:szCs w:val="18"/>
        </w:rPr>
        <w:t>reilluminated</w:t>
      </w:r>
      <w:proofErr w:type="spellEnd"/>
      <w:r>
        <w:rPr>
          <w:rFonts w:ascii="AdvOTb319c559" w:hAnsi="AdvOTb319c559" w:cs="AdvOTb319c559"/>
          <w:sz w:val="18"/>
          <w:szCs w:val="18"/>
        </w:rPr>
        <w:t xml:space="preserve"> observation is the potential for genomic variation in the organelle to alter phenotypic variation</w:t>
      </w:r>
    </w:p>
    <w:p w14:paraId="49D80258" w14:textId="77777777" w:rsidR="004E24BB" w:rsidRDefault="004E24BB" w:rsidP="004E24BB">
      <w:pPr>
        <w:autoSpaceDE w:val="0"/>
        <w:autoSpaceDN w:val="0"/>
        <w:adjustRightInd w:val="0"/>
        <w:spacing w:after="0" w:line="240" w:lineRule="auto"/>
        <w:rPr>
          <w:rFonts w:ascii="AdvOTb319c559" w:hAnsi="AdvOTb319c559" w:cs="AdvOTb319c559"/>
          <w:sz w:val="18"/>
          <w:szCs w:val="18"/>
        </w:rPr>
      </w:pPr>
      <w:r>
        <w:rPr>
          <w:rFonts w:ascii="AdvOTb319c559" w:hAnsi="AdvOTb319c559" w:cs="AdvOTb319c559"/>
          <w:sz w:val="18"/>
          <w:szCs w:val="18"/>
        </w:rPr>
        <w:t>alone and in epistatic interaction with the nuclear genetic variation. These studies are also highlighting new aspects of metabolic</w:t>
      </w:r>
    </w:p>
    <w:p w14:paraId="7EDED6FC" w14:textId="77777777" w:rsidR="004E24BB" w:rsidRDefault="004E24BB" w:rsidP="004E24BB">
      <w:pPr>
        <w:autoSpaceDE w:val="0"/>
        <w:autoSpaceDN w:val="0"/>
        <w:adjustRightInd w:val="0"/>
        <w:spacing w:after="0" w:line="240" w:lineRule="auto"/>
        <w:rPr>
          <w:rFonts w:ascii="AdvOTb319c559" w:hAnsi="AdvOTb319c559" w:cs="AdvOTb319c559"/>
          <w:sz w:val="18"/>
          <w:szCs w:val="18"/>
        </w:rPr>
      </w:pPr>
      <w:r>
        <w:rPr>
          <w:rFonts w:ascii="AdvOTb319c559" w:hAnsi="AdvOTb319c559" w:cs="AdvOTb319c559"/>
          <w:sz w:val="18"/>
          <w:szCs w:val="18"/>
        </w:rPr>
        <w:t>pleiotropy both in terms of the breadth of loci altering metabolic variation as well as the potential for broader effects on plant</w:t>
      </w:r>
    </w:p>
    <w:p w14:paraId="45EA8CC3" w14:textId="77777777" w:rsidR="004E24BB" w:rsidRDefault="004E24BB" w:rsidP="004E24BB">
      <w:pPr>
        <w:autoSpaceDE w:val="0"/>
        <w:autoSpaceDN w:val="0"/>
        <w:adjustRightInd w:val="0"/>
        <w:spacing w:after="0" w:line="240" w:lineRule="auto"/>
        <w:rPr>
          <w:rFonts w:ascii="AdvOTb319c559" w:hAnsi="AdvOTb319c559" w:cs="AdvOTb319c559"/>
          <w:sz w:val="18"/>
          <w:szCs w:val="18"/>
        </w:rPr>
      </w:pPr>
      <w:r>
        <w:rPr>
          <w:rFonts w:ascii="AdvOTb319c559" w:hAnsi="AdvOTb319c559" w:cs="AdvOTb319c559"/>
          <w:sz w:val="18"/>
          <w:szCs w:val="18"/>
        </w:rPr>
        <w:t>defense regulation of the metabolic variation than has previously been predicted. We also illustrate caveats that can be</w:t>
      </w:r>
    </w:p>
    <w:p w14:paraId="5227018F" w14:textId="77777777" w:rsidR="004E24BB" w:rsidRDefault="004E24BB" w:rsidP="004E24BB">
      <w:pPr>
        <w:autoSpaceDE w:val="0"/>
        <w:autoSpaceDN w:val="0"/>
        <w:adjustRightInd w:val="0"/>
        <w:spacing w:after="0" w:line="240" w:lineRule="auto"/>
        <w:rPr>
          <w:rFonts w:ascii="AdvOTb319c559" w:hAnsi="AdvOTb319c559" w:cs="AdvOTb319c559"/>
          <w:sz w:val="18"/>
          <w:szCs w:val="18"/>
        </w:rPr>
      </w:pPr>
      <w:r>
        <w:rPr>
          <w:rFonts w:ascii="AdvOTb319c559" w:hAnsi="AdvOTb319c559" w:cs="AdvOTb319c559"/>
          <w:sz w:val="18"/>
          <w:szCs w:val="18"/>
        </w:rPr>
        <w:t xml:space="preserve">overlooked when translating quantitative genetics descriptors such as heritability and per-locus </w:t>
      </w:r>
      <w:r>
        <w:rPr>
          <w:rFonts w:ascii="AdvOT09c53c0a.I" w:hAnsi="AdvOT09c53c0a.I" w:cs="AdvOT09c53c0a.I"/>
          <w:sz w:val="18"/>
          <w:szCs w:val="18"/>
        </w:rPr>
        <w:t>r</w:t>
      </w:r>
      <w:r>
        <w:rPr>
          <w:rFonts w:ascii="AdvOTb319c559" w:hAnsi="AdvOTb319c559" w:cs="AdvOTb319c559"/>
          <w:sz w:val="12"/>
          <w:szCs w:val="12"/>
        </w:rPr>
        <w:t xml:space="preserve">2 </w:t>
      </w:r>
      <w:r>
        <w:rPr>
          <w:rFonts w:ascii="AdvOTb319c559" w:hAnsi="AdvOTb319c559" w:cs="AdvOTb319c559"/>
          <w:sz w:val="18"/>
          <w:szCs w:val="18"/>
        </w:rPr>
        <w:t>to mechanistic or evolutionary</w:t>
      </w:r>
    </w:p>
    <w:p w14:paraId="32488147" w14:textId="5F392DBD" w:rsidR="004E24BB" w:rsidRDefault="004E24BB" w:rsidP="004E24BB">
      <w:pPr>
        <w:rPr>
          <w:rFonts w:ascii="AdvOTb319c559" w:hAnsi="AdvOTb319c559" w:cs="AdvOTb319c559"/>
          <w:sz w:val="18"/>
          <w:szCs w:val="18"/>
        </w:rPr>
      </w:pPr>
      <w:r>
        <w:rPr>
          <w:rFonts w:ascii="AdvOTb319c559" w:hAnsi="AdvOTb319c559" w:cs="AdvOTb319c559"/>
          <w:sz w:val="18"/>
          <w:szCs w:val="18"/>
        </w:rPr>
        <w:t>interpretations.</w:t>
      </w:r>
    </w:p>
    <w:p w14:paraId="77950531" w14:textId="77777777" w:rsidR="004E24BB" w:rsidRDefault="004E24BB" w:rsidP="004E24BB">
      <w:pPr>
        <w:autoSpaceDE w:val="0"/>
        <w:autoSpaceDN w:val="0"/>
        <w:adjustRightInd w:val="0"/>
        <w:spacing w:after="0" w:line="240" w:lineRule="auto"/>
        <w:rPr>
          <w:rFonts w:ascii="Arial" w:hAnsi="Arial" w:cs="Arial"/>
          <w:sz w:val="24"/>
          <w:szCs w:val="24"/>
        </w:rPr>
      </w:pPr>
      <w:r>
        <w:rPr>
          <w:rFonts w:ascii="AdvOTb319c559" w:hAnsi="AdvOTb319c559" w:cs="AdvOTb319c559"/>
          <w:sz w:val="18"/>
          <w:szCs w:val="18"/>
        </w:rPr>
        <w:t xml:space="preserve">2. </w:t>
      </w:r>
      <w:r>
        <w:rPr>
          <w:rFonts w:ascii="Arial" w:hAnsi="Arial" w:cs="Arial"/>
          <w:sz w:val="24"/>
          <w:szCs w:val="24"/>
        </w:rPr>
        <w:t>While the impacts of crop domestication on specialist pathogens are well known, less is</w:t>
      </w:r>
    </w:p>
    <w:p w14:paraId="2AF5336B"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sz w:val="24"/>
          <w:szCs w:val="24"/>
        </w:rPr>
        <w:t>known about the interaction of crop variation and generalist pathogens. To study how</w:t>
      </w:r>
    </w:p>
    <w:p w14:paraId="1BC26B36"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genetic variation within a crop affects plant resistance to generalist pathogens, we</w:t>
      </w:r>
    </w:p>
    <w:p w14:paraId="0C97BA35"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sz w:val="24"/>
          <w:szCs w:val="24"/>
        </w:rPr>
        <w:t>infected a collection of wild and domesticated tomato accessions with a genetically</w:t>
      </w:r>
    </w:p>
    <w:p w14:paraId="33CF3096"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diverse population of the generalist pathogen </w:t>
      </w:r>
      <w:r>
        <w:rPr>
          <w:rFonts w:ascii="Arial" w:hAnsi="Arial" w:cs="Arial"/>
          <w:i/>
          <w:iCs/>
          <w:sz w:val="24"/>
          <w:szCs w:val="24"/>
        </w:rPr>
        <w:t>Botrytis cinerea</w:t>
      </w:r>
      <w:r>
        <w:rPr>
          <w:rFonts w:ascii="Arial" w:hAnsi="Arial" w:cs="Arial"/>
          <w:sz w:val="24"/>
          <w:szCs w:val="24"/>
        </w:rPr>
        <w:t>. We quantified variation in</w:t>
      </w:r>
    </w:p>
    <w:p w14:paraId="2E87C036" w14:textId="77777777" w:rsidR="004E24BB" w:rsidRDefault="004E24BB" w:rsidP="004E24BB">
      <w:pPr>
        <w:autoSpaceDE w:val="0"/>
        <w:autoSpaceDN w:val="0"/>
        <w:adjustRightInd w:val="0"/>
        <w:spacing w:after="0" w:line="240" w:lineRule="auto"/>
        <w:rPr>
          <w:rFonts w:ascii="Arial" w:hAnsi="Arial" w:cs="Arial"/>
          <w:i/>
          <w:iCs/>
          <w:sz w:val="24"/>
          <w:szCs w:val="24"/>
        </w:rPr>
      </w:pPr>
      <w:r>
        <w:rPr>
          <w:rFonts w:ascii="Arial" w:hAnsi="Arial" w:cs="Arial"/>
          <w:sz w:val="24"/>
          <w:szCs w:val="24"/>
        </w:rPr>
        <w:t xml:space="preserve">lesion size of 97 </w:t>
      </w:r>
      <w:r>
        <w:rPr>
          <w:rFonts w:ascii="Arial" w:hAnsi="Arial" w:cs="Arial"/>
          <w:i/>
          <w:iCs/>
          <w:sz w:val="24"/>
          <w:szCs w:val="24"/>
        </w:rPr>
        <w:t xml:space="preserve">B. cinerea </w:t>
      </w:r>
      <w:r>
        <w:rPr>
          <w:rFonts w:ascii="Arial" w:hAnsi="Arial" w:cs="Arial"/>
          <w:sz w:val="24"/>
          <w:szCs w:val="24"/>
        </w:rPr>
        <w:t xml:space="preserve">genotypes (isolates) on six domesticated </w:t>
      </w:r>
      <w:r>
        <w:rPr>
          <w:rFonts w:ascii="Arial" w:hAnsi="Arial" w:cs="Arial"/>
          <w:i/>
          <w:iCs/>
          <w:sz w:val="24"/>
          <w:szCs w:val="24"/>
        </w:rPr>
        <w:t>Solanum</w:t>
      </w:r>
    </w:p>
    <w:p w14:paraId="28E5A9AA"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i/>
          <w:iCs/>
          <w:sz w:val="24"/>
          <w:szCs w:val="24"/>
        </w:rPr>
        <w:t xml:space="preserve">lycopersicum </w:t>
      </w:r>
      <w:r>
        <w:rPr>
          <w:rFonts w:ascii="Arial" w:hAnsi="Arial" w:cs="Arial"/>
          <w:sz w:val="24"/>
          <w:szCs w:val="24"/>
        </w:rPr>
        <w:t xml:space="preserve">and six wild </w:t>
      </w:r>
      <w:r>
        <w:rPr>
          <w:rFonts w:ascii="Arial" w:hAnsi="Arial" w:cs="Arial"/>
          <w:i/>
          <w:iCs/>
          <w:sz w:val="24"/>
          <w:szCs w:val="24"/>
        </w:rPr>
        <w:t xml:space="preserve">S. pimpinellifolium </w:t>
      </w:r>
      <w:r>
        <w:rPr>
          <w:rFonts w:ascii="Arial" w:hAnsi="Arial" w:cs="Arial"/>
          <w:sz w:val="24"/>
          <w:szCs w:val="24"/>
        </w:rPr>
        <w:t>genotypes. Lesion size was significantly</w:t>
      </w:r>
    </w:p>
    <w:p w14:paraId="0DAAB4A1"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sz w:val="24"/>
          <w:szCs w:val="24"/>
        </w:rPr>
        <w:t>affected by large effects of the host and pathogen’s genotype, with a much smaller</w:t>
      </w:r>
    </w:p>
    <w:p w14:paraId="68E03E1B"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sz w:val="24"/>
          <w:szCs w:val="24"/>
        </w:rPr>
        <w:t>contribution of domestication. This pathogen collection also enables genome-wide</w:t>
      </w:r>
    </w:p>
    <w:p w14:paraId="7DBB85CB"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association (GWA) mapping of </w:t>
      </w:r>
      <w:r>
        <w:rPr>
          <w:rFonts w:ascii="Arial" w:hAnsi="Arial" w:cs="Arial"/>
          <w:i/>
          <w:iCs/>
          <w:sz w:val="24"/>
          <w:szCs w:val="24"/>
        </w:rPr>
        <w:t>B. cinerea</w:t>
      </w:r>
      <w:r>
        <w:rPr>
          <w:rFonts w:ascii="Arial" w:hAnsi="Arial" w:cs="Arial"/>
          <w:sz w:val="24"/>
          <w:szCs w:val="24"/>
        </w:rPr>
        <w:t>. GWA mapping of the pathogen showed that</w:t>
      </w:r>
    </w:p>
    <w:p w14:paraId="1E08C3D8"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sz w:val="24"/>
          <w:szCs w:val="24"/>
        </w:rPr>
        <w:t>virulence is highly polygenic and involves a diversity of mechanisms. Breeding against</w:t>
      </w:r>
    </w:p>
    <w:p w14:paraId="514DFC20"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sz w:val="24"/>
          <w:szCs w:val="24"/>
        </w:rPr>
        <w:t>this pathogen would likely require the use of diverse isolates to capture all possible</w:t>
      </w:r>
    </w:p>
    <w:p w14:paraId="37CE3C7B"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mechanisms. Critically, we identified a subset of </w:t>
      </w:r>
      <w:r>
        <w:rPr>
          <w:rFonts w:ascii="Arial" w:hAnsi="Arial" w:cs="Arial"/>
          <w:i/>
          <w:iCs/>
          <w:sz w:val="24"/>
          <w:szCs w:val="24"/>
        </w:rPr>
        <w:t xml:space="preserve">B. cinerea </w:t>
      </w:r>
      <w:r>
        <w:rPr>
          <w:rFonts w:ascii="Arial" w:hAnsi="Arial" w:cs="Arial"/>
          <w:sz w:val="24"/>
          <w:szCs w:val="24"/>
        </w:rPr>
        <w:t>genes where allelic variation</w:t>
      </w:r>
    </w:p>
    <w:p w14:paraId="7DF300E3"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sz w:val="24"/>
          <w:szCs w:val="24"/>
        </w:rPr>
        <w:t>was linked to altered virulence against wild versus domesticated tomato, as well as loci</w:t>
      </w:r>
    </w:p>
    <w:p w14:paraId="6E760C3B" w14:textId="77777777" w:rsidR="004E24BB" w:rsidRDefault="004E24BB" w:rsidP="004E24BB">
      <w:pPr>
        <w:autoSpaceDE w:val="0"/>
        <w:autoSpaceDN w:val="0"/>
        <w:adjustRightInd w:val="0"/>
        <w:spacing w:after="0" w:line="240" w:lineRule="auto"/>
        <w:rPr>
          <w:rFonts w:ascii="Arial" w:hAnsi="Arial" w:cs="Arial"/>
          <w:sz w:val="24"/>
          <w:szCs w:val="24"/>
        </w:rPr>
      </w:pPr>
      <w:r>
        <w:rPr>
          <w:rFonts w:ascii="Arial" w:hAnsi="Arial" w:cs="Arial"/>
          <w:sz w:val="24"/>
          <w:szCs w:val="24"/>
        </w:rPr>
        <w:t>that could handle both groups. This generalist pathogen already has a large collection</w:t>
      </w:r>
    </w:p>
    <w:p w14:paraId="2F9C9097" w14:textId="41C038BB" w:rsidR="004E24BB" w:rsidRDefault="004E24BB" w:rsidP="004E24BB">
      <w:r>
        <w:rPr>
          <w:rFonts w:ascii="Arial" w:hAnsi="Arial" w:cs="Arial"/>
          <w:sz w:val="24"/>
          <w:szCs w:val="24"/>
        </w:rPr>
        <w:t>of allelic variation that must be considered when designing a breeding program.</w:t>
      </w:r>
    </w:p>
    <w:p w14:paraId="151DD565" w14:textId="2AB0889E" w:rsidR="004E24BB" w:rsidRDefault="004E24BB" w:rsidP="004E24BB">
      <w:pPr>
        <w:rPr>
          <w:rFonts w:cstheme="minorHAnsi"/>
        </w:rPr>
      </w:pPr>
      <w:r>
        <w:rPr>
          <w:rFonts w:cstheme="minorHAnsi"/>
          <w:b/>
        </w:rPr>
        <w:t xml:space="preserve">3. </w:t>
      </w:r>
      <w:r>
        <w:rPr>
          <w:rFonts w:cstheme="minorHAnsi"/>
        </w:rPr>
        <w:t>A disease symptom arises from the interaction of the host and pathogen genomes. However, little is known about how genetic variation in the interaction leads to shifts in the transcriptomes, especially in polygenic interactions like those</w:t>
      </w:r>
      <w:r w:rsidRPr="00082470">
        <w:rPr>
          <w:rFonts w:cstheme="minorHAnsi"/>
        </w:rPr>
        <w:t xml:space="preserve"> between </w:t>
      </w:r>
      <w:r>
        <w:rPr>
          <w:rFonts w:cstheme="minorHAnsi"/>
        </w:rPr>
        <w:t xml:space="preserve">generalist pathogens and their plant hosts. To elucidate how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 is shaped by directional influences of genetic variation on pathogen virulence, we measured the co-transcriptome across a genotyped and genetically diverse collection of 96 </w:t>
      </w:r>
      <w:r w:rsidRPr="009778C2">
        <w:rPr>
          <w:rFonts w:cstheme="minorHAnsi"/>
          <w:i/>
        </w:rPr>
        <w:t>B. cinerea</w:t>
      </w:r>
      <w:r>
        <w:rPr>
          <w:rFonts w:cstheme="minorHAnsi"/>
        </w:rPr>
        <w:t xml:space="preserve"> isolates infected on the Arabidopsis wildtype, Col-0. Using the </w:t>
      </w:r>
      <w:r w:rsidRPr="002F598D">
        <w:rPr>
          <w:rFonts w:cstheme="minorHAnsi"/>
          <w:i/>
        </w:rPr>
        <w:t>B. cinerea</w:t>
      </w:r>
      <w:r>
        <w:rPr>
          <w:rFonts w:cstheme="minorHAnsi"/>
        </w:rPr>
        <w:t xml:space="preserve"> genomic variation, we performed genome-wide association (GWA) for each of 23,947 variable transcript expression profiles in the host, and 9,267 transcripts in the pathogen. This analysis identified mostly </w:t>
      </w:r>
      <w:r w:rsidRPr="001713A4">
        <w:rPr>
          <w:rFonts w:cstheme="minorHAnsi"/>
          <w:i/>
        </w:rPr>
        <w:t>trans</w:t>
      </w:r>
      <w:r>
        <w:rPr>
          <w:rFonts w:cstheme="minorHAnsi"/>
        </w:rPr>
        <w:t xml:space="preserve">-eQTL in the pathogen and found eQTL hotspots dispersed across the pathogen genome affecting both the pathogen’s and the host’s transcriptomes. There was a relative absence of </w:t>
      </w:r>
      <w:r>
        <w:rPr>
          <w:rFonts w:cstheme="minorHAnsi"/>
          <w:i/>
        </w:rPr>
        <w:t>cis</w:t>
      </w:r>
      <w:r>
        <w:rPr>
          <w:rFonts w:cstheme="minorHAnsi"/>
        </w:rPr>
        <w:t xml:space="preserve">-eQTL that is likely explained by allelic heterogeneity and structural variants. The gene membership in the </w:t>
      </w:r>
      <w:r>
        <w:rPr>
          <w:rFonts w:cstheme="minorHAnsi"/>
          <w:i/>
        </w:rPr>
        <w:t>trans-</w:t>
      </w:r>
      <w:r>
        <w:rPr>
          <w:rFonts w:cstheme="minorHAnsi"/>
        </w:rPr>
        <w:t xml:space="preserve">eQTL hotspots suggests links to several known and many novel mechanisms of virulence in the plant-pathogen interaction. Genes annotated to these hotspots provide potential targets for blocking manipulation of the host response by this ubiquitous generalist pathogen. This shows that regulation of the co-transcriptome shows a polygenic nature that is </w:t>
      </w:r>
      <w:proofErr w:type="gramStart"/>
      <w:r>
        <w:rPr>
          <w:rFonts w:cstheme="minorHAnsi"/>
        </w:rPr>
        <w:t>similar to</w:t>
      </w:r>
      <w:proofErr w:type="gramEnd"/>
      <w:r>
        <w:rPr>
          <w:rFonts w:cstheme="minorHAnsi"/>
        </w:rPr>
        <w:t xml:space="preserve"> the virulence outcome in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w:t>
      </w:r>
    </w:p>
    <w:p w14:paraId="6A805590" w14:textId="053DEBD8" w:rsidR="00D714F0" w:rsidRDefault="00D714F0" w:rsidP="007013CE"/>
    <w:sectPr w:rsidR="00D714F0" w:rsidSect="00A4122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A1128" w14:textId="77777777" w:rsidR="00723E93" w:rsidRDefault="00723E93" w:rsidP="008B27EA">
      <w:pPr>
        <w:spacing w:after="0" w:line="240" w:lineRule="auto"/>
      </w:pPr>
      <w:r>
        <w:separator/>
      </w:r>
    </w:p>
  </w:endnote>
  <w:endnote w:type="continuationSeparator" w:id="0">
    <w:p w14:paraId="103B0586" w14:textId="77777777" w:rsidR="00723E93" w:rsidRDefault="00723E93" w:rsidP="008B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OTb319c559">
    <w:altName w:val="Cambria"/>
    <w:panose1 w:val="00000000000000000000"/>
    <w:charset w:val="00"/>
    <w:family w:val="roman"/>
    <w:notTrueType/>
    <w:pitch w:val="default"/>
    <w:sig w:usb0="00000003" w:usb1="00000000" w:usb2="00000000" w:usb3="00000000" w:csb0="00000001" w:csb1="00000000"/>
  </w:font>
  <w:font w:name="AdvOTb319c559+fb">
    <w:altName w:val="Calibri"/>
    <w:panose1 w:val="00000000000000000000"/>
    <w:charset w:val="00"/>
    <w:family w:val="auto"/>
    <w:notTrueType/>
    <w:pitch w:val="default"/>
    <w:sig w:usb0="00000003" w:usb1="00000000" w:usb2="00000000" w:usb3="00000000" w:csb0="00000001" w:csb1="00000000"/>
  </w:font>
  <w:font w:name="AdvOT09c53c0a.I">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FBA7A" w14:textId="533A39C6" w:rsidR="008B27EA" w:rsidRDefault="008B27EA">
    <w:pPr>
      <w:pStyle w:val="Footer"/>
      <w:jc w:val="center"/>
    </w:pPr>
  </w:p>
  <w:p w14:paraId="0D5A3D21" w14:textId="11EC07C9" w:rsidR="008B27EA" w:rsidRDefault="00A4122E" w:rsidP="00A4122E">
    <w:pPr>
      <w:pStyle w:val="Footer"/>
      <w:jc w:val="center"/>
    </w:pPr>
    <w:r>
      <w:t>-</w:t>
    </w:r>
    <w:proofErr w:type="spellStart"/>
    <w:r>
      <w:t>i</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B4C76" w14:textId="77777777" w:rsidR="00A4122E" w:rsidRDefault="00A4122E">
    <w:pPr>
      <w:pStyle w:val="Footer"/>
      <w:jc w:val="center"/>
    </w:pPr>
  </w:p>
  <w:p w14:paraId="73A11472" w14:textId="059A417E" w:rsidR="00A4122E" w:rsidRDefault="00A4122E" w:rsidP="00A4122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2AF74" w14:textId="2A180EB5" w:rsidR="00A4122E" w:rsidRDefault="00A4122E">
    <w:pPr>
      <w:pStyle w:val="Footer"/>
      <w:jc w:val="center"/>
    </w:pPr>
    <w:r>
      <w:t>ii</w:t>
    </w:r>
  </w:p>
  <w:p w14:paraId="1581C012" w14:textId="77777777" w:rsidR="00A4122E" w:rsidRDefault="00A4122E" w:rsidP="00A4122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036485"/>
      <w:docPartObj>
        <w:docPartGallery w:val="Page Numbers (Bottom of Page)"/>
        <w:docPartUnique/>
      </w:docPartObj>
    </w:sdtPr>
    <w:sdtEndPr>
      <w:rPr>
        <w:noProof/>
      </w:rPr>
    </w:sdtEndPr>
    <w:sdtContent>
      <w:p w14:paraId="3D049E6B" w14:textId="734FAA94" w:rsidR="00A4122E" w:rsidRDefault="00A412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CC6354" w14:textId="77777777" w:rsidR="00A4122E" w:rsidRDefault="00A4122E" w:rsidP="00A412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51EF5" w14:textId="77777777" w:rsidR="00723E93" w:rsidRDefault="00723E93" w:rsidP="008B27EA">
      <w:pPr>
        <w:spacing w:after="0" w:line="240" w:lineRule="auto"/>
      </w:pPr>
      <w:r>
        <w:separator/>
      </w:r>
    </w:p>
  </w:footnote>
  <w:footnote w:type="continuationSeparator" w:id="0">
    <w:p w14:paraId="771678FC" w14:textId="77777777" w:rsidR="00723E93" w:rsidRDefault="00723E93" w:rsidP="008B2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81035"/>
    <w:multiLevelType w:val="hybridMultilevel"/>
    <w:tmpl w:val="F9F02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32"/>
    <w:rsid w:val="000757F6"/>
    <w:rsid w:val="000807A3"/>
    <w:rsid w:val="000C5FF2"/>
    <w:rsid w:val="000E5D7C"/>
    <w:rsid w:val="001123E4"/>
    <w:rsid w:val="00155F6E"/>
    <w:rsid w:val="00190EF9"/>
    <w:rsid w:val="00197B52"/>
    <w:rsid w:val="001F71F6"/>
    <w:rsid w:val="0020321C"/>
    <w:rsid w:val="0024182E"/>
    <w:rsid w:val="0029211C"/>
    <w:rsid w:val="002C34DE"/>
    <w:rsid w:val="00303432"/>
    <w:rsid w:val="00306059"/>
    <w:rsid w:val="00322CA2"/>
    <w:rsid w:val="003A6D6A"/>
    <w:rsid w:val="00407E5B"/>
    <w:rsid w:val="00492FB5"/>
    <w:rsid w:val="00496B02"/>
    <w:rsid w:val="004E24BB"/>
    <w:rsid w:val="004F4A89"/>
    <w:rsid w:val="006241D8"/>
    <w:rsid w:val="00666C4C"/>
    <w:rsid w:val="00680F7F"/>
    <w:rsid w:val="006C2D2E"/>
    <w:rsid w:val="007013CE"/>
    <w:rsid w:val="00703B90"/>
    <w:rsid w:val="00723E93"/>
    <w:rsid w:val="008204B1"/>
    <w:rsid w:val="008438DD"/>
    <w:rsid w:val="00850679"/>
    <w:rsid w:val="008649B9"/>
    <w:rsid w:val="008756F2"/>
    <w:rsid w:val="008B27EA"/>
    <w:rsid w:val="008E12DD"/>
    <w:rsid w:val="009920A1"/>
    <w:rsid w:val="00A4122E"/>
    <w:rsid w:val="00B75BB2"/>
    <w:rsid w:val="00B97212"/>
    <w:rsid w:val="00BB0713"/>
    <w:rsid w:val="00BC28B4"/>
    <w:rsid w:val="00D05EE8"/>
    <w:rsid w:val="00D45079"/>
    <w:rsid w:val="00D714F0"/>
    <w:rsid w:val="00DA517F"/>
    <w:rsid w:val="00E53263"/>
    <w:rsid w:val="00EC4D27"/>
    <w:rsid w:val="00EE7D41"/>
    <w:rsid w:val="00F4604B"/>
    <w:rsid w:val="00F75A00"/>
    <w:rsid w:val="00F8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F7E21"/>
  <w15:chartTrackingRefBased/>
  <w15:docId w15:val="{CEB77AAF-167F-4192-A97C-E970132D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F0"/>
    <w:pPr>
      <w:ind w:left="720"/>
      <w:contextualSpacing/>
    </w:pPr>
  </w:style>
  <w:style w:type="paragraph" w:styleId="Header">
    <w:name w:val="header"/>
    <w:basedOn w:val="Normal"/>
    <w:link w:val="HeaderChar"/>
    <w:uiPriority w:val="99"/>
    <w:unhideWhenUsed/>
    <w:rsid w:val="008B2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7EA"/>
  </w:style>
  <w:style w:type="paragraph" w:styleId="Footer">
    <w:name w:val="footer"/>
    <w:basedOn w:val="Normal"/>
    <w:link w:val="FooterChar"/>
    <w:uiPriority w:val="99"/>
    <w:unhideWhenUsed/>
    <w:rsid w:val="008B2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3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3D4E6-A450-4AD8-B43A-352F68880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37</cp:revision>
  <dcterms:created xsi:type="dcterms:W3CDTF">2019-02-20T04:38:00Z</dcterms:created>
  <dcterms:modified xsi:type="dcterms:W3CDTF">2019-03-10T00:36:00Z</dcterms:modified>
</cp:coreProperties>
</file>