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>
      <w:pPr>
        <w:jc w:val="center"/>
      </w:pPr>
      <w:r>
        <w:rPr>
          <w:rFonts w:ascii="Calibri" w:hAnsi="Calibri"/>
          <w:b/>
          <w:sz w:val="48"/>
        </w:rPr>
        <w:t>DOCUMENTO DE CASOS DE USO</w:t>
        <w:br/>
        <w:t>PORTAL DE ATENCIÓN AL CLIENTE 24/7 CON IA</w:t>
      </w:r>
    </w:p>
    <w:p/>
    <w:p/>
    <w:p/>
    <w:p/>
    <w:p/>
    <w:p/>
    <w:p>
      <w:pPr>
        <w:jc w:val="center"/>
      </w:pPr>
      <w:r>
        <w:rPr>
          <w:rFonts w:ascii="Calibri" w:hAnsi="Calibri"/>
          <w:b/>
          <w:sz w:val="28"/>
        </w:rPr>
        <w:t>Miguel Angel Rojas Beltran</w:t>
      </w:r>
    </w:p>
    <w:p>
      <w:r>
        <w:br w:type="page"/>
      </w:r>
    </w:p>
    <w:p>
      <w:pPr>
        <w:keepNext/>
        <w:spacing w:before="360" w:after="120"/>
      </w:pPr>
      <w:r>
        <w:rPr>
          <w:rFonts w:ascii="Calibri" w:hAnsi="Calibri"/>
          <w:b/>
          <w:sz w:val="28"/>
        </w:rPr>
        <w:t>1. INTRODUCCIÓN</w:t>
      </w:r>
    </w:p>
    <w:p>
      <w:pPr>
        <w:keepNext/>
        <w:spacing w:before="240" w:after="80"/>
      </w:pPr>
      <w:r>
        <w:rPr>
          <w:rFonts w:ascii="Calibri" w:hAnsi="Calibri"/>
          <w:b/>
          <w:sz w:val="24"/>
        </w:rPr>
        <w:t>1.1 Propósito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Especificar formalmente la interacción operacional entre los actores (Cliente, Agente, Administrador y Servicio de IA) y el sistema mediante los casos de uso CU-001 a CU-004.</w:t>
      </w:r>
    </w:p>
    <w:p>
      <w:pPr>
        <w:keepNext/>
        <w:spacing w:before="240" w:after="80"/>
      </w:pPr>
      <w:r>
        <w:rPr>
          <w:rFonts w:ascii="Calibri" w:hAnsi="Calibri"/>
          <w:b/>
          <w:sz w:val="24"/>
        </w:rPr>
        <w:t>1.2 Alcance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Abarca los flujos operacionales del portal web 24/7, procesamiento asistido por IA, gestión de soporte y tablero de control administrativo.</w:t>
      </w:r>
    </w:p>
    <w:p>
      <w:pPr>
        <w:keepNext/>
        <w:spacing w:before="240" w:after="80"/>
      </w:pPr>
      <w:r>
        <w:rPr>
          <w:rFonts w:ascii="Calibri" w:hAnsi="Calibri"/>
          <w:b/>
          <w:sz w:val="24"/>
        </w:rPr>
        <w:t>1.3 Referencias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• Especificación de Requisitos ERS v1.0 (RF-001 a RF-013)</w:t>
        <w:br/>
        <w:t>• Documento de Historias de Usuario v1.0 (HU-001 a HU-012)</w:t>
      </w:r>
    </w:p>
    <w:p>
      <w:pPr>
        <w:keepNext/>
        <w:spacing w:before="360" w:after="120"/>
      </w:pPr>
      <w:r>
        <w:rPr>
          <w:rFonts w:ascii="Calibri" w:hAnsi="Calibri"/>
          <w:b/>
          <w:sz w:val="28"/>
        </w:rPr>
        <w:t>2. ACTORES DEL SISTEMA</w:t>
      </w:r>
    </w:p>
    <w:p>
      <w:pPr>
        <w:keepNext/>
        <w:spacing w:before="240" w:after="80"/>
      </w:pPr>
      <w:r>
        <w:rPr>
          <w:rFonts w:ascii="Calibri" w:hAnsi="Calibri"/>
          <w:b/>
          <w:sz w:val="24"/>
        </w:rPr>
        <w:t>2.1 Identificación de Actores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1. Cliente / Usuario Final: Actor principal externo que registra tickets las 24/7 y consulta su estado.</w:t>
        <w:br/>
        <w:t>2. Agente de Soporte: Actor principal interno que revisa la sugerencia de la IA, responde tickets y actualiza estados.</w:t>
        <w:br/>
        <w:t>3. Servicio de IA (OpenAI / LangChain): Actor del sistema / servicio externo que analiza texto, clasifica la prioridad y redacta borradores de respuesta.</w:t>
        <w:br/>
        <w:t>4. Administrador del Sistema: Actor interno que supervisa la base de conocimiento, dashboard e informes mensuales.</w:t>
      </w:r>
    </w:p>
    <w:p>
      <w:pPr>
        <w:keepNext/>
        <w:spacing w:before="360" w:after="120"/>
      </w:pPr>
      <w:r>
        <w:rPr>
          <w:rFonts w:ascii="Calibri" w:hAnsi="Calibri"/>
          <w:b/>
          <w:sz w:val="28"/>
        </w:rPr>
        <w:t>3. ESPECIFICACIÓN DE CASOS DE USO</w:t>
      </w:r>
    </w:p>
    <w:p>
      <w:pPr>
        <w:keepNext/>
        <w:spacing w:before="240" w:after="80"/>
      </w:pPr>
      <w:r>
        <w:rPr>
          <w:rFonts w:ascii="Calibri" w:hAnsi="Calibri"/>
          <w:b/>
          <w:sz w:val="24"/>
        </w:rPr>
        <w:t>CU-001: Registro y Consulta de Tickets 24/7 por el Cliente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Actor principal: Cliente / Usuario Final</w:t>
        <w:br/>
        <w:t>Actores secundarios: Ninguno</w:t>
        <w:br/>
        <w:t>Objetivo: Permitir al cliente crear tickets de soporte en cualquier momento del día y seguir su estado.</w:t>
        <w:br/>
        <w:t>Precondiciones: El portal web debe estar disponible en línea.</w:t>
        <w:br/>
        <w:t>Postcondiciones: Se crea el ticket en la BD y se expide un código único de seguimiento.</w:t>
      </w:r>
    </w:p>
    <w:p>
      <w:pPr>
        <w:keepNext/>
        <w:spacing w:before="160" w:after="40"/>
      </w:pPr>
      <w:r>
        <w:rPr>
          <w:rFonts w:ascii="Calibri" w:hAnsi="Calibri"/>
          <w:b/>
          <w:i/>
          <w:sz w:val="22"/>
        </w:rPr>
        <w:t>Flujo principal: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1. El cliente ingresa al portal web 24/7.</w:t>
        <w:br/>
        <w:t>2. Selecciona la opción 'Registrar Solicitud' (RF-001).</w:t>
        <w:br/>
        <w:t>3. Completa su nombre, correo, empresa, título y descripción detallada del problema.</w:t>
        <w:br/>
        <w:t>4. Presiona 'Enviar Ticket'.</w:t>
        <w:br/>
        <w:t>5. El sistema valida los datos de contacto (RF-003), almacena el ticket en estado 'Abierto' y entrega la clave de seguimiento (RF-002).</w:t>
      </w:r>
    </w:p>
    <w:p>
      <w:pPr>
        <w:keepNext/>
        <w:spacing w:before="160" w:after="40"/>
      </w:pPr>
      <w:r>
        <w:rPr>
          <w:rFonts w:ascii="Calibri" w:hAnsi="Calibri"/>
          <w:b/>
          <w:i/>
          <w:sz w:val="22"/>
        </w:rPr>
        <w:t>Flujos alternativos: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FA-1: Consulta de Estado: El cliente ingresa su código de ticket y visualiza las respuestas y el estado actual (RF-002).</w:t>
      </w:r>
    </w:p>
    <w:p>
      <w:pPr>
        <w:keepNext/>
        <w:spacing w:before="160" w:after="40"/>
      </w:pPr>
      <w:r>
        <w:rPr>
          <w:rFonts w:ascii="Calibri" w:hAnsi="Calibri"/>
          <w:b/>
          <w:i/>
          <w:sz w:val="22"/>
        </w:rPr>
        <w:t>Flujos de excepción: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FE-1: Formulario Incompleto: Si falta el correo o la descripción, el sistema señala los campos obligatorios.</w:t>
      </w:r>
    </w:p>
    <w:p>
      <w:pPr>
        <w:spacing w:after="240" w:line="276" w:lineRule="auto"/>
      </w:pPr>
      <w:r>
        <w:rPr>
          <w:rFonts w:ascii="Calibri" w:hAnsi="Calibri"/>
          <w:b w:val="0"/>
          <w:i w:val="0"/>
          <w:sz w:val="22"/>
        </w:rPr>
        <w:t>Requisitos relacionados: RF-001, RF-002, RF-003</w:t>
        <w:br/>
        <w:t>Historias relacionadas: HU-001, HU-002, HU-008</w:t>
      </w:r>
    </w:p>
    <w:p>
      <w:pPr>
        <w:keepNext/>
        <w:spacing w:before="240" w:after="80"/>
      </w:pPr>
      <w:r>
        <w:rPr>
          <w:rFonts w:ascii="Calibri" w:hAnsi="Calibri"/>
          <w:b/>
          <w:sz w:val="24"/>
        </w:rPr>
        <w:t>CU-002: Procesamiento Asistido por IA y Respuesta de Tickets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Actor principal: Agente de Soporte</w:t>
        <w:br/>
        <w:t>Actores secundarios: Servicio de IA (OpenAI / LangChain)</w:t>
        <w:br/>
        <w:t>Objetivo: Clasificar la prioridad del ticket con IA, sugerir la solución al agente y emitir la respuesta oficial al cliente.</w:t>
        <w:br/>
        <w:t>Precondiciones: Un ticket ha sido creado por el cliente.</w:t>
        <w:br/>
        <w:t>Postcondiciones: El ticket es analizado, priorizado, respondido y su estado actualizado.</w:t>
      </w:r>
    </w:p>
    <w:p>
      <w:pPr>
        <w:keepNext/>
        <w:spacing w:before="160" w:after="40"/>
      </w:pPr>
      <w:r>
        <w:rPr>
          <w:rFonts w:ascii="Calibri" w:hAnsi="Calibri"/>
          <w:b/>
          <w:i/>
          <w:sz w:val="22"/>
        </w:rPr>
        <w:t>Flujo principal: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1. Al crearse el ticket, el backend envía la descripción al motor de IA vía LangChain (RF-004).</w:t>
        <w:br/>
        <w:t>2. La IA clasifica la prioridad (Alta, Media, Baja) y la asigna al ticket en la BD (RF-005).</w:t>
        <w:br/>
        <w:t>3. La IA consulta la Base de Conocimiento y genera un borrador de solución sugerida (RF-006).</w:t>
        <w:br/>
        <w:t>4. El agente de soporte abre su bandeja ordenada por prioridad (RF-007) y visualiza el ticket con la sugerencia de la IA.</w:t>
        <w:br/>
        <w:t>5. El agente revisa, edita si es necesario, y envía la respuesta (RF-009).</w:t>
        <w:br/>
        <w:t>6. El sistema notifica al cliente y actualiza el estado a 'Resuelto'.</w:t>
      </w:r>
    </w:p>
    <w:p>
      <w:pPr>
        <w:keepNext/>
        <w:spacing w:before="160" w:after="40"/>
      </w:pPr>
      <w:r>
        <w:rPr>
          <w:rFonts w:ascii="Calibri" w:hAnsi="Calibri"/>
          <w:b/>
          <w:i/>
          <w:sz w:val="22"/>
        </w:rPr>
        <w:t>Flujos alternativos: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FA-1: Reasignación de Ticket: El agente o admin reasigna el ticket a otro especialista (RF-008).</w:t>
      </w:r>
    </w:p>
    <w:p>
      <w:pPr>
        <w:keepNext/>
        <w:spacing w:before="160" w:after="40"/>
      </w:pPr>
      <w:r>
        <w:rPr>
          <w:rFonts w:ascii="Calibri" w:hAnsi="Calibri"/>
          <w:b/>
          <w:i/>
          <w:sz w:val="22"/>
        </w:rPr>
        <w:t>Flujos de excepción: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FE-1: Falla en API de IA: Si la API de OpenAI no responde en 5 segundos, el ticket se registra con prioridad 'Media' por defecto para revisión manual.</w:t>
      </w:r>
    </w:p>
    <w:p>
      <w:pPr>
        <w:spacing w:after="240" w:line="276" w:lineRule="auto"/>
      </w:pPr>
      <w:r>
        <w:rPr>
          <w:rFonts w:ascii="Calibri" w:hAnsi="Calibri"/>
          <w:b w:val="0"/>
          <w:i w:val="0"/>
          <w:sz w:val="22"/>
        </w:rPr>
        <w:t>Requisitos relacionados: RF-004, RF-005, RF-006, RF-007, RF-008, RF-009</w:t>
        <w:br/>
        <w:t>Historias relacionadas: HU-003, HU-004, HU-005, HU-006, HU-007</w:t>
      </w:r>
    </w:p>
    <w:p>
      <w:pPr>
        <w:keepNext/>
        <w:spacing w:before="240" w:after="80"/>
      </w:pPr>
      <w:r>
        <w:rPr>
          <w:rFonts w:ascii="Calibri" w:hAnsi="Calibri"/>
          <w:b/>
          <w:sz w:val="24"/>
        </w:rPr>
        <w:t>CU-003: Administración de la Base de Conocimiento y Soluciones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Actor principal: Administrador del Sistema / Agente de Soporte</w:t>
        <w:br/>
        <w:t>Actores secundarios: Ninguno</w:t>
        <w:br/>
        <w:t>Objetivo: Crear y actualizar artículos técnicos para que la IA disponga de contexto actualizado.</w:t>
        <w:br/>
        <w:t>Precondiciones: Usuario autenticado con rol de agente o administrador.</w:t>
        <w:br/>
        <w:t>Postcondiciones: El nuevo artículo de solución queda indexado en la Base de Conocimiento.</w:t>
      </w:r>
    </w:p>
    <w:p>
      <w:pPr>
        <w:keepNext/>
        <w:spacing w:before="160" w:after="40"/>
      </w:pPr>
      <w:r>
        <w:rPr>
          <w:rFonts w:ascii="Calibri" w:hAnsi="Calibri"/>
          <w:b/>
          <w:i/>
          <w:sz w:val="22"/>
        </w:rPr>
        <w:t>Flujo principal: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1. El agente/admin ingresa al módulo de Base de Conocimiento.</w:t>
        <w:br/>
        <w:t>2. Presiona 'Nuevo Artículo de Solución' (RF-010).</w:t>
        <w:br/>
        <w:t>3. Ingresa título, categoría, palabras clave y solución técnica.</w:t>
        <w:br/>
        <w:t>4. Presiona 'Guardar e Indexar'.</w:t>
        <w:br/>
        <w:t>5. LangChain indexa la información para ser utilizada en futuras sugerencias.</w:t>
      </w:r>
    </w:p>
    <w:p>
      <w:pPr>
        <w:keepNext/>
        <w:spacing w:before="160" w:after="40"/>
      </w:pPr>
      <w:r>
        <w:rPr>
          <w:rFonts w:ascii="Calibri" w:hAnsi="Calibri"/>
          <w:b/>
          <w:i/>
          <w:sz w:val="22"/>
        </w:rPr>
        <w:t>Flujos alternativos: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FA-1: Publicar desde Ticket Resuelto: El agente hace clic en 'Guardar como Solución' en un ticket resuelto (RF-011).</w:t>
      </w:r>
    </w:p>
    <w:p>
      <w:pPr>
        <w:keepNext/>
        <w:spacing w:before="160" w:after="40"/>
      </w:pPr>
      <w:r>
        <w:rPr>
          <w:rFonts w:ascii="Calibri" w:hAnsi="Calibri"/>
          <w:b/>
          <w:i/>
          <w:sz w:val="22"/>
        </w:rPr>
        <w:t>Flujos de excepción: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FE-1: Artículo Duplicado: El sistema advierte si existe una solución muy similar.</w:t>
      </w:r>
    </w:p>
    <w:p>
      <w:pPr>
        <w:spacing w:after="240" w:line="276" w:lineRule="auto"/>
      </w:pPr>
      <w:r>
        <w:rPr>
          <w:rFonts w:ascii="Calibri" w:hAnsi="Calibri"/>
          <w:b w:val="0"/>
          <w:i w:val="0"/>
          <w:sz w:val="22"/>
        </w:rPr>
        <w:t>Requisitos relacionados: RF-010, RF-011</w:t>
        <w:br/>
        <w:t>Historias relacionadas: HU-009, HU-010</w:t>
      </w:r>
    </w:p>
    <w:p>
      <w:pPr>
        <w:keepNext/>
        <w:spacing w:before="240" w:after="80"/>
      </w:pPr>
      <w:r>
        <w:rPr>
          <w:rFonts w:ascii="Calibri" w:hAnsi="Calibri"/>
          <w:b/>
          <w:sz w:val="24"/>
        </w:rPr>
        <w:t>CU-004: Monitoreo en Dashboard y Reportes Mensuales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Actor principal: Administrador del Sistema</w:t>
        <w:br/>
        <w:t>Actores secundarios: Ninguno</w:t>
        <w:br/>
        <w:t>Objetivo: Analizar las métricas operativas del servicio 24/7 y exportar informes mensuales.</w:t>
        <w:br/>
        <w:t>Precondiciones: Existencia de datos de tickets registrados en el sistema.</w:t>
        <w:br/>
        <w:t>Postcondiciones: Se despliegan indicadores o se descarga el documento de reporte mensual.</w:t>
      </w:r>
    </w:p>
    <w:p>
      <w:pPr>
        <w:keepNext/>
        <w:spacing w:before="160" w:after="40"/>
      </w:pPr>
      <w:r>
        <w:rPr>
          <w:rFonts w:ascii="Calibri" w:hAnsi="Calibri"/>
          <w:b/>
          <w:i/>
          <w:sz w:val="22"/>
        </w:rPr>
        <w:t>Flujo principal: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1. El administrador ingresa al Dashboard (RF-012).</w:t>
        <w:br/>
        <w:t>2. El sistema muestra indicadores de tickets abiertos, tiempos de respuesta y efectividad de la IA.</w:t>
        <w:br/>
        <w:t>3. El administrador navega a 'Reportes Mensuales', selecciona mes y año y presiona 'Generar Reporte' (RF-013).</w:t>
        <w:br/>
        <w:t>4. El sistema descarga el informe mensual consolidado.</w:t>
      </w:r>
    </w:p>
    <w:p>
      <w:pPr>
        <w:keepNext/>
        <w:spacing w:before="160" w:after="40"/>
      </w:pPr>
      <w:r>
        <w:rPr>
          <w:rFonts w:ascii="Calibri" w:hAnsi="Calibri"/>
          <w:b/>
          <w:i/>
          <w:sz w:val="22"/>
        </w:rPr>
        <w:t>Flujos alternativos: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FA-1: Filtrado de métricas por período personalizado en el dashboard.</w:t>
      </w:r>
    </w:p>
    <w:p>
      <w:pPr>
        <w:keepNext/>
        <w:spacing w:before="160" w:after="40"/>
      </w:pPr>
      <w:r>
        <w:rPr>
          <w:rFonts w:ascii="Calibri" w:hAnsi="Calibri"/>
          <w:b/>
          <w:i/>
          <w:sz w:val="22"/>
        </w:rPr>
        <w:t>Flujos de excepción: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FE-1: Período Sin Datos: Si se solicita un reporte de un mes sin registros, el sistema notifica 'No se registran tickets en el período elegido'.</w:t>
      </w:r>
    </w:p>
    <w:p>
      <w:pPr>
        <w:spacing w:after="240" w:line="276" w:lineRule="auto"/>
      </w:pPr>
      <w:r>
        <w:rPr>
          <w:rFonts w:ascii="Calibri" w:hAnsi="Calibri"/>
          <w:b w:val="0"/>
          <w:i w:val="0"/>
          <w:sz w:val="22"/>
        </w:rPr>
        <w:t>Requisitos relacionados: RF-012, RF-013</w:t>
        <w:br/>
        <w:t>Historias relacionadas: HU-011, HU-012</w:t>
      </w:r>
    </w:p>
    <w:p>
      <w:pPr>
        <w:keepNext/>
        <w:spacing w:before="360" w:after="120"/>
      </w:pPr>
      <w:r>
        <w:rPr>
          <w:rFonts w:ascii="Calibri" w:hAnsi="Calibri"/>
          <w:b/>
          <w:sz w:val="28"/>
        </w:rPr>
        <w:t>4. TABLA RESUMEN DE CASOS DE USO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ID Caso</w:t>
            </w:r>
          </w:p>
        </w:tc>
        <w:tc>
          <w:tcPr>
            <w:tcW w:type="dxa" w:w="1872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Nombre Caso de Uso</w:t>
            </w:r>
          </w:p>
        </w:tc>
        <w:tc>
          <w:tcPr>
            <w:tcW w:type="dxa" w:w="1872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Actor Principal</w:t>
            </w:r>
          </w:p>
        </w:tc>
        <w:tc>
          <w:tcPr>
            <w:tcW w:type="dxa" w:w="1872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Requisitos Asociados</w:t>
            </w:r>
          </w:p>
        </w:tc>
        <w:tc>
          <w:tcPr>
            <w:tcW w:type="dxa" w:w="1872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Historias Asociadas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CU-001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Registro y Consulta de Tickets 24/7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Cliente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RF-001, RF-002, RF-003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HU-001, HU-002, HU-008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CU-002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Procesamiento Asistido por IA y Respuesta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Agente de Soporte / IA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RF-004 a RF-009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HU-003 a HU-007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CU-003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Administración de Base de Conocimiento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Admin / Agente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RF-010, RF-011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HU-009, HU-010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CU-004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Monitoreo en Dashboard y Reportes Mensuales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Administrador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RF-012, RF-013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HU-011, HU-012</w:t>
            </w:r>
          </w:p>
        </w:tc>
      </w:tr>
    </w:tbl>
    <w:p>
      <w:pPr>
        <w:spacing w:before="80" w:after="20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