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2563EB"/>
          <w:sz w:val="24"/>
        </w:rPr>
        <w:t>NOORUL ISLAM COLLEGE OF ENGINEERING AND TECHNOLOGY</w:t>
      </w:r>
    </w:p>
    <w:p>
      <w:pPr>
        <w:spacing w:after="160"/>
      </w:pPr>
      <w:r>
        <w:rPr>
          <w:b/>
          <w:color w:val="1E3A8A"/>
          <w:sz w:val="44"/>
        </w:rPr>
        <w:t>NICETech ERP: Comprehensive System Architecture, Security Maturity &amp; Functional Capabilities Report</w:t>
      </w:r>
    </w:p>
    <w:p>
      <w:pPr>
        <w:spacing w:after="400"/>
      </w:pPr>
      <w:r>
        <w:rPr>
          <w:i/>
          <w:color w:val="475569"/>
          <w:sz w:val="22"/>
        </w:rPr>
        <w:t>An End-to-End Architectural Analysis, Role Governance Framework, Functional Specification, and Cybersecurity Audit for College Management and Technical Leadership</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80"/>
        <w:gridCol w:w="4680"/>
      </w:tblGrid>
      <w:tr>
        <w:tc>
          <w:tcPr>
            <w:tcW w:type="dxa" w:w="3168"/>
            <w:shd w:fill="F1F5F9"/>
            <w:tcMar>
              <w:top w:w="80" w:type="dxa"/>
              <w:bottom w:w="80" w:type="dxa"/>
              <w:left w:w="120" w:type="dxa"/>
              <w:right w:w="120" w:type="dxa"/>
            </w:tcMar>
          </w:tcPr>
          <w:p>
            <w:pPr>
              <w:spacing w:after="40"/>
            </w:pPr>
            <w:r>
              <w:rPr>
                <w:b/>
                <w:color w:val="1E3A8A"/>
                <w:sz w:val="19"/>
              </w:rPr>
              <w:t>Application Name:</w:t>
            </w:r>
          </w:p>
        </w:tc>
        <w:tc>
          <w:tcPr>
            <w:tcW w:type="dxa" w:w="6192"/>
            <w:shd w:fill="FFFFFF"/>
            <w:tcMar>
              <w:top w:w="80" w:type="dxa"/>
              <w:bottom w:w="80" w:type="dxa"/>
              <w:left w:w="120" w:type="dxa"/>
              <w:right w:w="120" w:type="dxa"/>
            </w:tcMar>
          </w:tcPr>
          <w:p>
            <w:pPr>
              <w:spacing w:after="40"/>
            </w:pPr>
            <w:r>
              <w:rPr>
                <w:color w:val="334155"/>
                <w:sz w:val="19"/>
              </w:rPr>
              <w:t>NICETech ERP (Institutional Management &amp; Academic Portal)</w:t>
            </w:r>
          </w:p>
        </w:tc>
      </w:tr>
      <w:tr>
        <w:tc>
          <w:tcPr>
            <w:tcW w:type="dxa" w:w="3168"/>
            <w:shd w:fill="F1F5F9"/>
            <w:tcMar>
              <w:top w:w="80" w:type="dxa"/>
              <w:bottom w:w="80" w:type="dxa"/>
              <w:left w:w="120" w:type="dxa"/>
              <w:right w:w="120" w:type="dxa"/>
            </w:tcMar>
          </w:tcPr>
          <w:p>
            <w:pPr>
              <w:spacing w:after="40"/>
            </w:pPr>
            <w:r>
              <w:rPr>
                <w:b/>
                <w:color w:val="1E3A8A"/>
                <w:sz w:val="19"/>
              </w:rPr>
              <w:t>Institution:</w:t>
            </w:r>
          </w:p>
        </w:tc>
        <w:tc>
          <w:tcPr>
            <w:tcW w:type="dxa" w:w="6192"/>
            <w:shd w:fill="FFFFFF"/>
            <w:tcMar>
              <w:top w:w="80" w:type="dxa"/>
              <w:bottom w:w="80" w:type="dxa"/>
              <w:left w:w="120" w:type="dxa"/>
              <w:right w:w="120" w:type="dxa"/>
            </w:tcMar>
          </w:tcPr>
          <w:p>
            <w:pPr>
              <w:spacing w:after="40"/>
            </w:pPr>
            <w:r>
              <w:rPr>
                <w:color w:val="334155"/>
                <w:sz w:val="19"/>
              </w:rPr>
              <w:t>Noorul Islam College of Engineering and Technology (NICETECH)</w:t>
            </w:r>
          </w:p>
        </w:tc>
      </w:tr>
      <w:tr>
        <w:tc>
          <w:tcPr>
            <w:tcW w:type="dxa" w:w="3168"/>
            <w:shd w:fill="F1F5F9"/>
            <w:tcMar>
              <w:top w:w="80" w:type="dxa"/>
              <w:bottom w:w="80" w:type="dxa"/>
              <w:left w:w="120" w:type="dxa"/>
              <w:right w:w="120" w:type="dxa"/>
            </w:tcMar>
          </w:tcPr>
          <w:p>
            <w:pPr>
              <w:spacing w:after="40"/>
            </w:pPr>
            <w:r>
              <w:rPr>
                <w:b/>
                <w:color w:val="1E3A8A"/>
                <w:sz w:val="19"/>
              </w:rPr>
              <w:t>Document Version / Date:</w:t>
            </w:r>
          </w:p>
        </w:tc>
        <w:tc>
          <w:tcPr>
            <w:tcW w:type="dxa" w:w="6192"/>
            <w:shd w:fill="FFFFFF"/>
            <w:tcMar>
              <w:top w:w="80" w:type="dxa"/>
              <w:bottom w:w="80" w:type="dxa"/>
              <w:left w:w="120" w:type="dxa"/>
              <w:right w:w="120" w:type="dxa"/>
            </w:tcMar>
          </w:tcPr>
          <w:p>
            <w:pPr>
              <w:spacing w:after="40"/>
            </w:pPr>
            <w:r>
              <w:rPr>
                <w:color w:val="334155"/>
                <w:sz w:val="19"/>
              </w:rPr>
              <w:t>v2.4 — August 26, 2026</w:t>
            </w:r>
          </w:p>
        </w:tc>
      </w:tr>
      <w:tr>
        <w:tc>
          <w:tcPr>
            <w:tcW w:type="dxa" w:w="3168"/>
            <w:shd w:fill="F1F5F9"/>
            <w:tcMar>
              <w:top w:w="80" w:type="dxa"/>
              <w:bottom w:w="80" w:type="dxa"/>
              <w:left w:w="120" w:type="dxa"/>
              <w:right w:w="120" w:type="dxa"/>
            </w:tcMar>
          </w:tcPr>
          <w:p>
            <w:pPr>
              <w:spacing w:after="40"/>
            </w:pPr>
            <w:r>
              <w:rPr>
                <w:b/>
                <w:color w:val="1E3A8A"/>
                <w:sz w:val="19"/>
              </w:rPr>
              <w:t>Audience:</w:t>
            </w:r>
          </w:p>
        </w:tc>
        <w:tc>
          <w:tcPr>
            <w:tcW w:type="dxa" w:w="6192"/>
            <w:shd w:fill="FFFFFF"/>
            <w:tcMar>
              <w:top w:w="80" w:type="dxa"/>
              <w:bottom w:w="80" w:type="dxa"/>
              <w:left w:w="120" w:type="dxa"/>
              <w:right w:w="120" w:type="dxa"/>
            </w:tcMar>
          </w:tcPr>
          <w:p>
            <w:pPr>
              <w:spacing w:after="40"/>
            </w:pPr>
            <w:r>
              <w:rPr>
                <w:color w:val="334155"/>
                <w:sz w:val="19"/>
              </w:rPr>
              <w:t>Principal, Management Board, HODs, Faculty, IT Steering Committee, Security Auditors</w:t>
            </w:r>
          </w:p>
        </w:tc>
      </w:tr>
      <w:tr>
        <w:tc>
          <w:tcPr>
            <w:tcW w:type="dxa" w:w="3168"/>
            <w:shd w:fill="F1F5F9"/>
            <w:tcMar>
              <w:top w:w="80" w:type="dxa"/>
              <w:bottom w:w="80" w:type="dxa"/>
              <w:left w:w="120" w:type="dxa"/>
              <w:right w:w="120" w:type="dxa"/>
            </w:tcMar>
          </w:tcPr>
          <w:p>
            <w:pPr>
              <w:spacing w:after="40"/>
            </w:pPr>
            <w:r>
              <w:rPr>
                <w:b/>
                <w:color w:val="1E3A8A"/>
                <w:sz w:val="19"/>
              </w:rPr>
              <w:t>System Status:</w:t>
            </w:r>
          </w:p>
        </w:tc>
        <w:tc>
          <w:tcPr>
            <w:tcW w:type="dxa" w:w="6192"/>
            <w:shd w:fill="FFFFFF"/>
            <w:tcMar>
              <w:top w:w="80" w:type="dxa"/>
              <w:bottom w:w="80" w:type="dxa"/>
              <w:left w:w="120" w:type="dxa"/>
              <w:right w:w="120" w:type="dxa"/>
            </w:tcMar>
          </w:tcPr>
          <w:p>
            <w:pPr>
              <w:spacing w:after="40"/>
            </w:pPr>
            <w:r>
              <w:rPr>
                <w:color w:val="334155"/>
                <w:sz w:val="19"/>
              </w:rPr>
              <w:t>Production-Ready Core Platform (Fully Implemented &amp; Actively Tested)</w:t>
            </w:r>
          </w:p>
        </w:tc>
      </w:tr>
    </w:tbl>
    <w:p>
      <w:r>
        <w:br w:type="page"/>
      </w:r>
    </w:p>
    <w:p>
      <w:pPr>
        <w:keepNext/>
        <w:spacing w:before="320" w:after="120"/>
      </w:pPr>
      <w:r>
        <w:rPr>
          <w:b/>
          <w:color w:val="1E3A8A"/>
          <w:sz w:val="30"/>
        </w:rPr>
        <w:t>1. Executive Summary &amp; Institutional Vision</w:t>
      </w:r>
    </w:p>
    <w:p>
      <w:r>
        <w:t>The NICETech Enterprise Resource Planning (ERP) platform is a custom-engineered, state-of-the-art academic and administrative governance web application built specifically for Noorul Islam College of Engineering and Technology (NICETECH). Engineered using a modern, scalable JavaScript/Node.js ecosystem paired with a responsive Next.js frontend, the system consolidates institutional operations that traditionally required disparate physical registers, fragmented spreadsheets, and manual communication workflows.</w:t>
      </w:r>
    </w:p>
    <w:p>
      <w:r>
        <w:t>The platform bridges student lifecycle management, faculty administration, period-level attendance tracking with predictive leave simulation, continuous internal marks assessment, automated examination hall and seating generation, anonymous multi-criteria faculty performance evaluations, public admissions processing with email OTP verification, and real-time Progressive Web App (PWA) push notifications.</w:t>
      </w:r>
    </w:p>
    <w:tbl>
      <w:tblPr>
        <w:tblW w:type="auto" w:w="0"/>
        <w:jc w:val="center"/>
        <w:tblLook w:firstColumn="1" w:firstRow="1" w:lastColumn="0" w:lastRow="0" w:noHBand="0" w:noVBand="1" w:val="04A0"/>
        <w:tblBorders>
          <w:top w:val="single" w:sz="12" w:space="0" w:color="22C55E"/>
          <w:bottom w:val="single" w:sz="12" w:space="0" w:color="22C55E"/>
          <w:left w:val="none"/>
          <w:right w:val="none"/>
          <w:insideH w:val="single" w:sz="12" w:space="0" w:color="22C55E"/>
          <w:insideV w:val="none"/>
        </w:tblBorders>
      </w:tblPr>
      <w:tblGrid>
        <w:gridCol w:w="9360"/>
      </w:tblGrid>
      <w:tr>
        <w:tc>
          <w:tcPr>
            <w:tcW w:type="dxa" w:w="9360"/>
            <w:shd w:fill="F0FDF4"/>
            <w:tcMar>
              <w:top w:w="120" w:type="dxa"/>
              <w:bottom w:w="120" w:type="dxa"/>
              <w:left w:w="160" w:type="dxa"/>
              <w:right w:w="160" w:type="dxa"/>
            </w:tcMar>
          </w:tcPr>
          <w:p>
            <w:pPr>
              <w:spacing w:after="40"/>
            </w:pPr>
            <w:r>
              <w:rPr>
                <w:b/>
                <w:color w:val="1E3A8A"/>
                <w:sz w:val="19"/>
              </w:rPr>
              <w:t>📌 ASSURANCE OF FACTUAL INTEGRITY</w:t>
              <w:br/>
            </w:r>
            <w:r>
              <w:rPr>
                <w:color w:val="334155"/>
                <w:sz w:val="18"/>
              </w:rPr>
              <w:t>NICETech ERP operates entirely on verifiable, audited codebase logic. Every feature, database constraint, role-based permission check, and security mitigation documented in this report reflects active source code within the repository.</w:t>
            </w:r>
          </w:p>
        </w:tc>
      </w:tr>
    </w:tbl>
    <w:p>
      <w:pPr>
        <w:spacing w:after="80"/>
      </w:pPr>
    </w:p>
    <w:p>
      <w:pPr>
        <w:keepNext/>
        <w:spacing w:before="320" w:after="120"/>
      </w:pPr>
      <w:r>
        <w:rPr>
          <w:b/>
          <w:color w:val="1E3A8A"/>
          <w:sz w:val="30"/>
        </w:rPr>
        <w:t>2. System Architecture &amp; Modern Technology Stack</w:t>
      </w:r>
    </w:p>
    <w:p>
      <w:r>
        <w:t>The architecture is designed following a decoupled, layered client-server paradigm. This guarantees high availability, responsive rendering on mobile and desktop devices, robust API security, and seamless data synchronization.</w:t>
      </w:r>
    </w:p>
    <w:p>
      <w:pPr>
        <w:keepNext/>
        <w:spacing w:before="240" w:after="80"/>
      </w:pPr>
      <w:r>
        <w:rPr>
          <w:b/>
          <w:color w:val="2563EB"/>
          <w:sz w:val="24"/>
        </w:rPr>
        <w:t>2.1 Core Architectural Tiers</w:t>
      </w:r>
    </w:p>
    <w:p>
      <w:r>
        <w:t>• Tier 1 (Presentation Layer): Next.js 16.2.4 &amp; React 19.2.4 running with App Router, Vanilla CSS, Lucide icons, and Service Worker PWA support.</w:t>
      </w:r>
    </w:p>
    <w:p>
      <w:r>
        <w:t>• Tier 2 (Application &amp; API Layer): Node.js &amp; Express.js 5.2.1 REST API with specialized micro-routing, JWT session management, and rate-limiting security middleware.</w:t>
      </w:r>
    </w:p>
    <w:p>
      <w:r>
        <w:t>• Tier 3 (Database &amp; Persistence Layer): MongoDB with Mongoose 9.9.2 ODM utilizing compound unique indexes, strict schemas, and automated timestamps.</w:t>
      </w:r>
    </w:p>
    <w:p>
      <w:r>
        <w:t>• Tier 4 (Integrated Cloud Services): Google Drive API v3 (biometric photo asset repository via OAuth2), Google Identity Federation (SSO), Nodemailer Gmail SMTP, and Web Push VAPID Notification Service.</w:t>
      </w:r>
    </w:p>
    <w:p>
      <w:pPr>
        <w:keepNext/>
        <w:spacing w:before="240" w:after="80"/>
      </w:pPr>
      <w:r>
        <w:rPr>
          <w:b/>
          <w:color w:val="2563EB"/>
          <w:sz w:val="24"/>
        </w:rPr>
        <w:t>2.2 Technology Stack Bill of Materials (BOM)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18"/>
              </w:rPr>
              <w:t>Component Layer</w:t>
            </w:r>
          </w:p>
        </w:tc>
        <w:tc>
          <w:tcPr>
            <w:tcW w:type="dxa" w:w="2340"/>
            <w:shd w:fill="1E3A8A"/>
            <w:tcMar>
              <w:top w:w="100" w:type="dxa"/>
              <w:bottom w:w="100" w:type="dxa"/>
              <w:left w:w="120" w:type="dxa"/>
              <w:right w:w="120" w:type="dxa"/>
            </w:tcMar>
          </w:tcPr>
          <w:p>
            <w:r>
              <w:rPr>
                <w:b/>
                <w:color w:val="FFFFFF"/>
                <w:sz w:val="18"/>
              </w:rPr>
              <w:t>Technology / Framework</w:t>
            </w:r>
          </w:p>
        </w:tc>
        <w:tc>
          <w:tcPr>
            <w:tcW w:type="dxa" w:w="2340"/>
            <w:shd w:fill="1E3A8A"/>
            <w:tcMar>
              <w:top w:w="100" w:type="dxa"/>
              <w:bottom w:w="100" w:type="dxa"/>
              <w:left w:w="120" w:type="dxa"/>
              <w:right w:w="120" w:type="dxa"/>
            </w:tcMar>
          </w:tcPr>
          <w:p>
            <w:r>
              <w:rPr>
                <w:b/>
                <w:color w:val="FFFFFF"/>
                <w:sz w:val="18"/>
              </w:rPr>
              <w:t>Version</w:t>
            </w:r>
          </w:p>
        </w:tc>
        <w:tc>
          <w:tcPr>
            <w:tcW w:type="dxa" w:w="2340"/>
            <w:shd w:fill="1E3A8A"/>
            <w:tcMar>
              <w:top w:w="100" w:type="dxa"/>
              <w:bottom w:w="100" w:type="dxa"/>
              <w:left w:w="120" w:type="dxa"/>
              <w:right w:w="120" w:type="dxa"/>
            </w:tcMar>
          </w:tcPr>
          <w:p>
            <w:r>
              <w:rPr>
                <w:b/>
                <w:color w:val="FFFFFF"/>
                <w:sz w:val="18"/>
              </w:rPr>
              <w:t>Institutional Role &amp; Benefit</w:t>
            </w:r>
          </w:p>
        </w:tc>
      </w:tr>
      <w:tr>
        <w:tc>
          <w:tcPr>
            <w:tcW w:type="dxa" w:w="2340"/>
            <w:shd w:fill="F8FAFC"/>
            <w:tcMar>
              <w:top w:w="80" w:type="dxa"/>
              <w:bottom w:w="80" w:type="dxa"/>
              <w:left w:w="100" w:type="dxa"/>
              <w:right w:w="100" w:type="dxa"/>
            </w:tcMar>
          </w:tcPr>
          <w:p>
            <w:r>
              <w:rPr>
                <w:b/>
                <w:sz w:val="17"/>
              </w:rPr>
              <w:t>Frontend Web App</w:t>
            </w:r>
          </w:p>
        </w:tc>
        <w:tc>
          <w:tcPr>
            <w:tcW w:type="dxa" w:w="2340"/>
            <w:shd w:fill="F8FAFC"/>
            <w:tcMar>
              <w:top w:w="80" w:type="dxa"/>
              <w:bottom w:w="80" w:type="dxa"/>
              <w:left w:w="100" w:type="dxa"/>
              <w:right w:w="100" w:type="dxa"/>
            </w:tcMar>
          </w:tcPr>
          <w:p>
            <w:r>
              <w:rPr>
                <w:sz w:val="17"/>
              </w:rPr>
              <w:t>Next.js (App Router) + React</w:t>
            </w:r>
          </w:p>
        </w:tc>
        <w:tc>
          <w:tcPr>
            <w:tcW w:type="dxa" w:w="2340"/>
            <w:shd w:fill="F8FAFC"/>
            <w:tcMar>
              <w:top w:w="80" w:type="dxa"/>
              <w:bottom w:w="80" w:type="dxa"/>
              <w:left w:w="100" w:type="dxa"/>
              <w:right w:w="100" w:type="dxa"/>
            </w:tcMar>
          </w:tcPr>
          <w:p>
            <w:r>
              <w:rPr>
                <w:sz w:val="17"/>
              </w:rPr>
              <w:t>v16.2.4 / v19.2.4</w:t>
            </w:r>
          </w:p>
        </w:tc>
        <w:tc>
          <w:tcPr>
            <w:tcW w:type="dxa" w:w="2340"/>
            <w:shd w:fill="F8FAFC"/>
            <w:tcMar>
              <w:top w:w="80" w:type="dxa"/>
              <w:bottom w:w="80" w:type="dxa"/>
              <w:left w:w="100" w:type="dxa"/>
              <w:right w:w="100" w:type="dxa"/>
            </w:tcMar>
          </w:tcPr>
          <w:p>
            <w:r>
              <w:rPr>
                <w:sz w:val="17"/>
              </w:rPr>
              <w:t>Lightning-fast client rendering, responsive layout, PWA mobile support</w:t>
            </w:r>
          </w:p>
        </w:tc>
      </w:tr>
      <w:tr>
        <w:tc>
          <w:tcPr>
            <w:tcW w:type="dxa" w:w="2340"/>
            <w:shd w:fill="FFFFFF"/>
            <w:tcMar>
              <w:top w:w="80" w:type="dxa"/>
              <w:bottom w:w="80" w:type="dxa"/>
              <w:left w:w="100" w:type="dxa"/>
              <w:right w:w="100" w:type="dxa"/>
            </w:tcMar>
          </w:tcPr>
          <w:p>
            <w:r>
              <w:rPr>
                <w:b/>
                <w:sz w:val="17"/>
              </w:rPr>
              <w:t>Backend Framework</w:t>
            </w:r>
          </w:p>
        </w:tc>
        <w:tc>
          <w:tcPr>
            <w:tcW w:type="dxa" w:w="2340"/>
            <w:shd w:fill="FFFFFF"/>
            <w:tcMar>
              <w:top w:w="80" w:type="dxa"/>
              <w:bottom w:w="80" w:type="dxa"/>
              <w:left w:w="100" w:type="dxa"/>
              <w:right w:w="100" w:type="dxa"/>
            </w:tcMar>
          </w:tcPr>
          <w:p>
            <w:r>
              <w:rPr>
                <w:sz w:val="17"/>
              </w:rPr>
              <w:t>Express.js / Node.js</w:t>
            </w:r>
          </w:p>
        </w:tc>
        <w:tc>
          <w:tcPr>
            <w:tcW w:type="dxa" w:w="2340"/>
            <w:shd w:fill="FFFFFF"/>
            <w:tcMar>
              <w:top w:w="80" w:type="dxa"/>
              <w:bottom w:w="80" w:type="dxa"/>
              <w:left w:w="100" w:type="dxa"/>
              <w:right w:w="100" w:type="dxa"/>
            </w:tcMar>
          </w:tcPr>
          <w:p>
            <w:r>
              <w:rPr>
                <w:sz w:val="17"/>
              </w:rPr>
              <w:t>v5.2.1 / v20+</w:t>
            </w:r>
          </w:p>
        </w:tc>
        <w:tc>
          <w:tcPr>
            <w:tcW w:type="dxa" w:w="2340"/>
            <w:shd w:fill="FFFFFF"/>
            <w:tcMar>
              <w:top w:w="80" w:type="dxa"/>
              <w:bottom w:w="80" w:type="dxa"/>
              <w:left w:w="100" w:type="dxa"/>
              <w:right w:w="100" w:type="dxa"/>
            </w:tcMar>
          </w:tcPr>
          <w:p>
            <w:r>
              <w:rPr>
                <w:sz w:val="17"/>
              </w:rPr>
              <w:t>High-throughput asynchronous REST API routing and middleware pipeline</w:t>
            </w:r>
          </w:p>
        </w:tc>
      </w:tr>
      <w:tr>
        <w:tc>
          <w:tcPr>
            <w:tcW w:type="dxa" w:w="2340"/>
            <w:shd w:fill="F8FAFC"/>
            <w:tcMar>
              <w:top w:w="80" w:type="dxa"/>
              <w:bottom w:w="80" w:type="dxa"/>
              <w:left w:w="100" w:type="dxa"/>
              <w:right w:w="100" w:type="dxa"/>
            </w:tcMar>
          </w:tcPr>
          <w:p>
            <w:r>
              <w:rPr>
                <w:b/>
                <w:sz w:val="17"/>
              </w:rPr>
              <w:t>Database Engine</w:t>
            </w:r>
          </w:p>
        </w:tc>
        <w:tc>
          <w:tcPr>
            <w:tcW w:type="dxa" w:w="2340"/>
            <w:shd w:fill="F8FAFC"/>
            <w:tcMar>
              <w:top w:w="80" w:type="dxa"/>
              <w:bottom w:w="80" w:type="dxa"/>
              <w:left w:w="100" w:type="dxa"/>
              <w:right w:w="100" w:type="dxa"/>
            </w:tcMar>
          </w:tcPr>
          <w:p>
            <w:r>
              <w:rPr>
                <w:sz w:val="17"/>
              </w:rPr>
              <w:t>MongoDB + Mongoose ODM</w:t>
            </w:r>
          </w:p>
        </w:tc>
        <w:tc>
          <w:tcPr>
            <w:tcW w:type="dxa" w:w="2340"/>
            <w:shd w:fill="F8FAFC"/>
            <w:tcMar>
              <w:top w:w="80" w:type="dxa"/>
              <w:bottom w:w="80" w:type="dxa"/>
              <w:left w:w="100" w:type="dxa"/>
              <w:right w:w="100" w:type="dxa"/>
            </w:tcMar>
          </w:tcPr>
          <w:p>
            <w:r>
              <w:rPr>
                <w:sz w:val="17"/>
              </w:rPr>
              <w:t>v9.9.2</w:t>
            </w:r>
          </w:p>
        </w:tc>
        <w:tc>
          <w:tcPr>
            <w:tcW w:type="dxa" w:w="2340"/>
            <w:shd w:fill="F8FAFC"/>
            <w:tcMar>
              <w:top w:w="80" w:type="dxa"/>
              <w:bottom w:w="80" w:type="dxa"/>
              <w:left w:w="100" w:type="dxa"/>
              <w:right w:w="100" w:type="dxa"/>
            </w:tcMar>
          </w:tcPr>
          <w:p>
            <w:r>
              <w:rPr>
                <w:sz w:val="17"/>
              </w:rPr>
              <w:t>Document-oriented schema persistence with atomic updates &amp; compound indexing</w:t>
            </w:r>
          </w:p>
        </w:tc>
      </w:tr>
      <w:tr>
        <w:tc>
          <w:tcPr>
            <w:tcW w:type="dxa" w:w="2340"/>
            <w:shd w:fill="FFFFFF"/>
            <w:tcMar>
              <w:top w:w="80" w:type="dxa"/>
              <w:bottom w:w="80" w:type="dxa"/>
              <w:left w:w="100" w:type="dxa"/>
              <w:right w:w="100" w:type="dxa"/>
            </w:tcMar>
          </w:tcPr>
          <w:p>
            <w:r>
              <w:rPr>
                <w:b/>
                <w:sz w:val="17"/>
              </w:rPr>
              <w:t>Authentication / Security</w:t>
            </w:r>
          </w:p>
        </w:tc>
        <w:tc>
          <w:tcPr>
            <w:tcW w:type="dxa" w:w="2340"/>
            <w:shd w:fill="FFFFFF"/>
            <w:tcMar>
              <w:top w:w="80" w:type="dxa"/>
              <w:bottom w:w="80" w:type="dxa"/>
              <w:left w:w="100" w:type="dxa"/>
              <w:right w:w="100" w:type="dxa"/>
            </w:tcMar>
          </w:tcPr>
          <w:p>
            <w:r>
              <w:rPr>
                <w:sz w:val="17"/>
              </w:rPr>
              <w:t>JWT + bcrypt + Helmet + RateLimit</w:t>
            </w:r>
          </w:p>
        </w:tc>
        <w:tc>
          <w:tcPr>
            <w:tcW w:type="dxa" w:w="2340"/>
            <w:shd w:fill="FFFFFF"/>
            <w:tcMar>
              <w:top w:w="80" w:type="dxa"/>
              <w:bottom w:w="80" w:type="dxa"/>
              <w:left w:w="100" w:type="dxa"/>
              <w:right w:w="100" w:type="dxa"/>
            </w:tcMar>
          </w:tcPr>
          <w:p>
            <w:r>
              <w:rPr>
                <w:sz w:val="17"/>
              </w:rPr>
              <w:t>v9.0 / v6.0 / v8.3</w:t>
            </w:r>
          </w:p>
        </w:tc>
        <w:tc>
          <w:tcPr>
            <w:tcW w:type="dxa" w:w="2340"/>
            <w:shd w:fill="FFFFFF"/>
            <w:tcMar>
              <w:top w:w="80" w:type="dxa"/>
              <w:bottom w:w="80" w:type="dxa"/>
              <w:left w:w="100" w:type="dxa"/>
              <w:right w:w="100" w:type="dxa"/>
            </w:tcMar>
          </w:tcPr>
          <w:p>
            <w:r>
              <w:rPr>
                <w:sz w:val="17"/>
              </w:rPr>
              <w:t>Dual-token cookie auth, salt=10 password hashing, HTTP header hardening</w:t>
            </w:r>
          </w:p>
        </w:tc>
      </w:tr>
      <w:tr>
        <w:tc>
          <w:tcPr>
            <w:tcW w:type="dxa" w:w="2340"/>
            <w:shd w:fill="F8FAFC"/>
            <w:tcMar>
              <w:top w:w="80" w:type="dxa"/>
              <w:bottom w:w="80" w:type="dxa"/>
              <w:left w:w="100" w:type="dxa"/>
              <w:right w:w="100" w:type="dxa"/>
            </w:tcMar>
          </w:tcPr>
          <w:p>
            <w:r>
              <w:rPr>
                <w:b/>
                <w:sz w:val="17"/>
              </w:rPr>
              <w:t>OAuth SSO</w:t>
            </w:r>
          </w:p>
        </w:tc>
        <w:tc>
          <w:tcPr>
            <w:tcW w:type="dxa" w:w="2340"/>
            <w:shd w:fill="F8FAFC"/>
            <w:tcMar>
              <w:top w:w="80" w:type="dxa"/>
              <w:bottom w:w="80" w:type="dxa"/>
              <w:left w:w="100" w:type="dxa"/>
              <w:right w:w="100" w:type="dxa"/>
            </w:tcMar>
          </w:tcPr>
          <w:p>
            <w:r>
              <w:rPr>
                <w:sz w:val="17"/>
              </w:rPr>
              <w:t>Google Auth Library / OAuth2</w:t>
            </w:r>
          </w:p>
        </w:tc>
        <w:tc>
          <w:tcPr>
            <w:tcW w:type="dxa" w:w="2340"/>
            <w:shd w:fill="F8FAFC"/>
            <w:tcMar>
              <w:top w:w="80" w:type="dxa"/>
              <w:bottom w:w="80" w:type="dxa"/>
              <w:left w:w="100" w:type="dxa"/>
              <w:right w:w="100" w:type="dxa"/>
            </w:tcMar>
          </w:tcPr>
          <w:p>
            <w:r>
              <w:rPr>
                <w:sz w:val="17"/>
              </w:rPr>
              <w:t>v10.6.2</w:t>
            </w:r>
          </w:p>
        </w:tc>
        <w:tc>
          <w:tcPr>
            <w:tcW w:type="dxa" w:w="2340"/>
            <w:shd w:fill="F8FAFC"/>
            <w:tcMar>
              <w:top w:w="80" w:type="dxa"/>
              <w:bottom w:w="80" w:type="dxa"/>
              <w:left w:w="100" w:type="dxa"/>
              <w:right w:w="100" w:type="dxa"/>
            </w:tcMar>
          </w:tcPr>
          <w:p>
            <w:r>
              <w:rPr>
                <w:sz w:val="17"/>
              </w:rPr>
              <w:t>Single Sign-On login for college Google Workspace accounts</w:t>
            </w:r>
          </w:p>
        </w:tc>
      </w:tr>
      <w:tr>
        <w:tc>
          <w:tcPr>
            <w:tcW w:type="dxa" w:w="2340"/>
            <w:shd w:fill="FFFFFF"/>
            <w:tcMar>
              <w:top w:w="80" w:type="dxa"/>
              <w:bottom w:w="80" w:type="dxa"/>
              <w:left w:w="100" w:type="dxa"/>
              <w:right w:w="100" w:type="dxa"/>
            </w:tcMar>
          </w:tcPr>
          <w:p>
            <w:r>
              <w:rPr>
                <w:b/>
                <w:sz w:val="17"/>
              </w:rPr>
              <w:t>Media Cloud Storage</w:t>
            </w:r>
          </w:p>
        </w:tc>
        <w:tc>
          <w:tcPr>
            <w:tcW w:type="dxa" w:w="2340"/>
            <w:shd w:fill="FFFFFF"/>
            <w:tcMar>
              <w:top w:w="80" w:type="dxa"/>
              <w:bottom w:w="80" w:type="dxa"/>
              <w:left w:w="100" w:type="dxa"/>
              <w:right w:w="100" w:type="dxa"/>
            </w:tcMar>
          </w:tcPr>
          <w:p>
            <w:r>
              <w:rPr>
                <w:sz w:val="17"/>
              </w:rPr>
              <w:t>Google Drive API (googleapis)</w:t>
            </w:r>
          </w:p>
        </w:tc>
        <w:tc>
          <w:tcPr>
            <w:tcW w:type="dxa" w:w="2340"/>
            <w:shd w:fill="FFFFFF"/>
            <w:tcMar>
              <w:top w:w="80" w:type="dxa"/>
              <w:bottom w:w="80" w:type="dxa"/>
              <w:left w:w="100" w:type="dxa"/>
              <w:right w:w="100" w:type="dxa"/>
            </w:tcMar>
          </w:tcPr>
          <w:p>
            <w:r>
              <w:rPr>
                <w:sz w:val="17"/>
              </w:rPr>
              <w:t>v174.0.1</w:t>
            </w:r>
          </w:p>
        </w:tc>
        <w:tc>
          <w:tcPr>
            <w:tcW w:type="dxa" w:w="2340"/>
            <w:shd w:fill="FFFFFF"/>
            <w:tcMar>
              <w:top w:w="80" w:type="dxa"/>
              <w:bottom w:w="80" w:type="dxa"/>
              <w:left w:w="100" w:type="dxa"/>
              <w:right w:w="100" w:type="dxa"/>
            </w:tcMar>
          </w:tcPr>
          <w:p>
            <w:r>
              <w:rPr>
                <w:sz w:val="17"/>
              </w:rPr>
              <w:t>Secure zero-disk-bloat cloud hosting for student &amp; faculty biometric photos</w:t>
            </w:r>
          </w:p>
        </w:tc>
      </w:tr>
      <w:tr>
        <w:tc>
          <w:tcPr>
            <w:tcW w:type="dxa" w:w="2340"/>
            <w:shd w:fill="F8FAFC"/>
            <w:tcMar>
              <w:top w:w="80" w:type="dxa"/>
              <w:bottom w:w="80" w:type="dxa"/>
              <w:left w:w="100" w:type="dxa"/>
              <w:right w:w="100" w:type="dxa"/>
            </w:tcMar>
          </w:tcPr>
          <w:p>
            <w:r>
              <w:rPr>
                <w:b/>
                <w:sz w:val="17"/>
              </w:rPr>
              <w:t>Email Communication</w:t>
            </w:r>
          </w:p>
        </w:tc>
        <w:tc>
          <w:tcPr>
            <w:tcW w:type="dxa" w:w="2340"/>
            <w:shd w:fill="F8FAFC"/>
            <w:tcMar>
              <w:top w:w="80" w:type="dxa"/>
              <w:bottom w:w="80" w:type="dxa"/>
              <w:left w:w="100" w:type="dxa"/>
              <w:right w:w="100" w:type="dxa"/>
            </w:tcMar>
          </w:tcPr>
          <w:p>
            <w:r>
              <w:rPr>
                <w:sz w:val="17"/>
              </w:rPr>
              <w:t>Nodemailer (Gmail Transport)</w:t>
            </w:r>
          </w:p>
        </w:tc>
        <w:tc>
          <w:tcPr>
            <w:tcW w:type="dxa" w:w="2340"/>
            <w:shd w:fill="F8FAFC"/>
            <w:tcMar>
              <w:top w:w="80" w:type="dxa"/>
              <w:bottom w:w="80" w:type="dxa"/>
              <w:left w:w="100" w:type="dxa"/>
              <w:right w:w="100" w:type="dxa"/>
            </w:tcMar>
          </w:tcPr>
          <w:p>
            <w:r>
              <w:rPr>
                <w:sz w:val="17"/>
              </w:rPr>
              <w:t>v8.0.7</w:t>
            </w:r>
          </w:p>
        </w:tc>
        <w:tc>
          <w:tcPr>
            <w:tcW w:type="dxa" w:w="2340"/>
            <w:shd w:fill="F8FAFC"/>
            <w:tcMar>
              <w:top w:w="80" w:type="dxa"/>
              <w:bottom w:w="80" w:type="dxa"/>
              <w:left w:w="100" w:type="dxa"/>
              <w:right w:w="100" w:type="dxa"/>
            </w:tcMar>
          </w:tcPr>
          <w:p>
            <w:r>
              <w:rPr>
                <w:sz w:val="17"/>
              </w:rPr>
              <w:t>Automated HTML transaction emails (OTP, receipts, password reset)</w:t>
            </w:r>
          </w:p>
        </w:tc>
      </w:tr>
      <w:tr>
        <w:tc>
          <w:tcPr>
            <w:tcW w:type="dxa" w:w="2340"/>
            <w:shd w:fill="FFFFFF"/>
            <w:tcMar>
              <w:top w:w="80" w:type="dxa"/>
              <w:bottom w:w="80" w:type="dxa"/>
              <w:left w:w="100" w:type="dxa"/>
              <w:right w:w="100" w:type="dxa"/>
            </w:tcMar>
          </w:tcPr>
          <w:p>
            <w:r>
              <w:rPr>
                <w:b/>
                <w:sz w:val="17"/>
              </w:rPr>
              <w:t>Push Notifications</w:t>
            </w:r>
          </w:p>
        </w:tc>
        <w:tc>
          <w:tcPr>
            <w:tcW w:type="dxa" w:w="2340"/>
            <w:shd w:fill="FFFFFF"/>
            <w:tcMar>
              <w:top w:w="80" w:type="dxa"/>
              <w:bottom w:w="80" w:type="dxa"/>
              <w:left w:w="100" w:type="dxa"/>
              <w:right w:w="100" w:type="dxa"/>
            </w:tcMar>
          </w:tcPr>
          <w:p>
            <w:r>
              <w:rPr>
                <w:sz w:val="17"/>
              </w:rPr>
              <w:t>web-push (VAPID Protocol)</w:t>
            </w:r>
          </w:p>
        </w:tc>
        <w:tc>
          <w:tcPr>
            <w:tcW w:type="dxa" w:w="2340"/>
            <w:shd w:fill="FFFFFF"/>
            <w:tcMar>
              <w:top w:w="80" w:type="dxa"/>
              <w:bottom w:w="80" w:type="dxa"/>
              <w:left w:w="100" w:type="dxa"/>
              <w:right w:w="100" w:type="dxa"/>
            </w:tcMar>
          </w:tcPr>
          <w:p>
            <w:r>
              <w:rPr>
                <w:sz w:val="17"/>
              </w:rPr>
              <w:t>v3.6.7</w:t>
            </w:r>
          </w:p>
        </w:tc>
        <w:tc>
          <w:tcPr>
            <w:tcW w:type="dxa" w:w="2340"/>
            <w:shd w:fill="FFFFFF"/>
            <w:tcMar>
              <w:top w:w="80" w:type="dxa"/>
              <w:bottom w:w="80" w:type="dxa"/>
              <w:left w:w="100" w:type="dxa"/>
              <w:right w:w="100" w:type="dxa"/>
            </w:tcMar>
          </w:tcPr>
          <w:p>
            <w:r>
              <w:rPr>
                <w:sz w:val="17"/>
              </w:rPr>
              <w:t>Direct background browser push alerts for attendance and announcements</w:t>
            </w:r>
          </w:p>
        </w:tc>
      </w:tr>
    </w:tbl>
    <w:p>
      <w:pPr>
        <w:spacing w:after="160"/>
      </w:pPr>
    </w:p>
    <w:p>
      <w:pPr>
        <w:keepNext/>
        <w:spacing w:before="320" w:after="120"/>
      </w:pPr>
      <w:r>
        <w:rPr>
          <w:b/>
          <w:color w:val="1E3A8A"/>
          <w:sz w:val="30"/>
        </w:rPr>
        <w:t>3. User Roles, Permission Matrix &amp; Institutional Governance</w:t>
      </w:r>
    </w:p>
    <w:p>
      <w:r>
        <w:t>Security and privacy in an educational institution mandate strict segregation of duties. NICETech ERP implements a zero-trust, verified Role-Based Access Control (RBAC) model across four active operational roles and one future-scoped role: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120" w:type="dxa"/>
              <w:right w:w="120" w:type="dxa"/>
            </w:tcMar>
          </w:tcPr>
          <w:p>
            <w:r>
              <w:rPr>
                <w:b/>
                <w:color w:val="FFFFFF"/>
                <w:sz w:val="18"/>
              </w:rPr>
              <w:t>User Role</w:t>
            </w:r>
          </w:p>
        </w:tc>
        <w:tc>
          <w:tcPr>
            <w:tcW w:type="dxa" w:w="3120"/>
            <w:shd w:fill="1E3A8A"/>
            <w:tcMar>
              <w:top w:w="100" w:type="dxa"/>
              <w:bottom w:w="100" w:type="dxa"/>
              <w:left w:w="120" w:type="dxa"/>
              <w:right w:w="120" w:type="dxa"/>
            </w:tcMar>
          </w:tcPr>
          <w:p>
            <w:r>
              <w:rPr>
                <w:b/>
                <w:color w:val="FFFFFF"/>
                <w:sz w:val="18"/>
              </w:rPr>
              <w:t>Scope of Authority &amp; Access Permissions</w:t>
            </w:r>
          </w:p>
        </w:tc>
        <w:tc>
          <w:tcPr>
            <w:tcW w:type="dxa" w:w="3120"/>
            <w:shd w:fill="1E3A8A"/>
            <w:tcMar>
              <w:top w:w="100" w:type="dxa"/>
              <w:bottom w:w="100" w:type="dxa"/>
              <w:left w:w="120" w:type="dxa"/>
              <w:right w:w="120" w:type="dxa"/>
            </w:tcMar>
          </w:tcPr>
          <w:p>
            <w:r>
              <w:rPr>
                <w:b/>
                <w:color w:val="FFFFFF"/>
                <w:sz w:val="18"/>
              </w:rPr>
              <w:t>Institutional Security Guardrails</w:t>
            </w:r>
          </w:p>
        </w:tc>
      </w:tr>
      <w:tr>
        <w:tc>
          <w:tcPr>
            <w:tcW w:type="dxa" w:w="3120"/>
            <w:shd w:fill="F8FAFC"/>
            <w:tcMar>
              <w:top w:w="80" w:type="dxa"/>
              <w:bottom w:w="80" w:type="dxa"/>
              <w:left w:w="100" w:type="dxa"/>
              <w:right w:w="100" w:type="dxa"/>
            </w:tcMar>
          </w:tcPr>
          <w:p>
            <w:r>
              <w:rPr>
                <w:b/>
                <w:sz w:val="17"/>
              </w:rPr>
              <w:t>Admin (Principal / Registrar)</w:t>
            </w:r>
          </w:p>
        </w:tc>
        <w:tc>
          <w:tcPr>
            <w:tcW w:type="dxa" w:w="3120"/>
            <w:shd w:fill="F8FAFC"/>
            <w:tcMar>
              <w:top w:w="80" w:type="dxa"/>
              <w:bottom w:w="80" w:type="dxa"/>
              <w:left w:w="100" w:type="dxa"/>
              <w:right w:w="100" w:type="dxa"/>
            </w:tcMar>
          </w:tcPr>
          <w:p>
            <w:r>
              <w:rPr>
                <w:sz w:val="17"/>
              </w:rPr>
              <w:t>Full institution-wide read, write, edit, and delete access. Manages departments, master timetables, faculty records, student admissions, exam timetables, exam halls, universal announcements, and feedback resets.</w:t>
            </w:r>
          </w:p>
        </w:tc>
        <w:tc>
          <w:tcPr>
            <w:tcW w:type="dxa" w:w="3120"/>
            <w:shd w:fill="F8FAFC"/>
            <w:tcMar>
              <w:top w:w="80" w:type="dxa"/>
              <w:bottom w:w="80" w:type="dxa"/>
              <w:left w:w="100" w:type="dxa"/>
              <w:right w:w="100" w:type="dxa"/>
            </w:tcMar>
          </w:tcPr>
          <w:p>
            <w:r>
              <w:rPr>
                <w:sz w:val="17"/>
              </w:rPr>
              <w:t>Protected by rate-limited logins, IP tracking, and dual-token session invalidation.</w:t>
            </w:r>
          </w:p>
        </w:tc>
      </w:tr>
      <w:tr>
        <w:tc>
          <w:tcPr>
            <w:tcW w:type="dxa" w:w="3120"/>
            <w:shd w:fill="FFFFFF"/>
            <w:tcMar>
              <w:top w:w="80" w:type="dxa"/>
              <w:bottom w:w="80" w:type="dxa"/>
              <w:left w:w="100" w:type="dxa"/>
              <w:right w:w="100" w:type="dxa"/>
            </w:tcMar>
          </w:tcPr>
          <w:p>
            <w:r>
              <w:rPr>
                <w:b/>
                <w:sz w:val="17"/>
              </w:rPr>
              <w:t>HOD (Head of Department)</w:t>
            </w:r>
          </w:p>
        </w:tc>
        <w:tc>
          <w:tcPr>
            <w:tcW w:type="dxa" w:w="3120"/>
            <w:shd w:fill="FFFFFF"/>
            <w:tcMar>
              <w:top w:w="80" w:type="dxa"/>
              <w:bottom w:w="80" w:type="dxa"/>
              <w:left w:w="100" w:type="dxa"/>
              <w:right w:w="100" w:type="dxa"/>
            </w:tcMar>
          </w:tcPr>
          <w:p>
            <w:r>
              <w:rPr>
                <w:sz w:val="17"/>
              </w:rPr>
              <w:t>Department-scoped authority. Manages faculty members and students within their department, oversees department timetables, views department-level exam seating, and inspects department-scoped anonymous feedback dashboards.</w:t>
            </w:r>
          </w:p>
        </w:tc>
        <w:tc>
          <w:tcPr>
            <w:tcW w:type="dxa" w:w="3120"/>
            <w:shd w:fill="FFFFFF"/>
            <w:tcMar>
              <w:top w:w="80" w:type="dxa"/>
              <w:bottom w:w="80" w:type="dxa"/>
              <w:left w:w="100" w:type="dxa"/>
              <w:right w:w="100" w:type="dxa"/>
            </w:tcMar>
          </w:tcPr>
          <w:p>
            <w:r>
              <w:rPr>
                <w:sz w:val="17"/>
              </w:rPr>
              <w:t>Strict backend middleware enforces department isolation; HODs cannot view or modify data belonging to other departments.</w:t>
            </w:r>
          </w:p>
        </w:tc>
      </w:tr>
      <w:tr>
        <w:tc>
          <w:tcPr>
            <w:tcW w:type="dxa" w:w="3120"/>
            <w:shd w:fill="F8FAFC"/>
            <w:tcMar>
              <w:top w:w="80" w:type="dxa"/>
              <w:bottom w:w="80" w:type="dxa"/>
              <w:left w:w="100" w:type="dxa"/>
              <w:right w:w="100" w:type="dxa"/>
            </w:tcMar>
          </w:tcPr>
          <w:p>
            <w:r>
              <w:rPr>
                <w:b/>
                <w:sz w:val="17"/>
              </w:rPr>
              <w:t>Staff (Faculty Member)</w:t>
            </w:r>
          </w:p>
        </w:tc>
        <w:tc>
          <w:tcPr>
            <w:tcW w:type="dxa" w:w="3120"/>
            <w:shd w:fill="F8FAFC"/>
            <w:tcMar>
              <w:top w:w="80" w:type="dxa"/>
              <w:bottom w:w="80" w:type="dxa"/>
              <w:left w:w="100" w:type="dxa"/>
              <w:right w:w="100" w:type="dxa"/>
            </w:tcMar>
          </w:tcPr>
          <w:p>
            <w:r>
              <w:rPr>
                <w:sz w:val="17"/>
              </w:rPr>
              <w:t>Access to assigned classes and timetable schedules. Enters period-by-period attendance, records theory/practical internal assessment marks for verified assigned subjects, views profile and announcements.</w:t>
            </w:r>
          </w:p>
        </w:tc>
        <w:tc>
          <w:tcPr>
            <w:tcW w:type="dxa" w:w="3120"/>
            <w:shd w:fill="F8FAFC"/>
            <w:tcMar>
              <w:top w:w="80" w:type="dxa"/>
              <w:bottom w:w="80" w:type="dxa"/>
              <w:left w:w="100" w:type="dxa"/>
              <w:right w:w="100" w:type="dxa"/>
            </w:tcMar>
          </w:tcPr>
          <w:p>
            <w:r>
              <w:rPr>
                <w:sz w:val="17"/>
              </w:rPr>
              <w:t>Timetable verification middleware prevents faculty from recording marks for subjects they do not teach.</w:t>
            </w:r>
          </w:p>
        </w:tc>
      </w:tr>
      <w:tr>
        <w:tc>
          <w:tcPr>
            <w:tcW w:type="dxa" w:w="3120"/>
            <w:shd w:fill="FFFFFF"/>
            <w:tcMar>
              <w:top w:w="80" w:type="dxa"/>
              <w:bottom w:w="80" w:type="dxa"/>
              <w:left w:w="100" w:type="dxa"/>
              <w:right w:w="100" w:type="dxa"/>
            </w:tcMar>
          </w:tcPr>
          <w:p>
            <w:r>
              <w:rPr>
                <w:b/>
                <w:sz w:val="17"/>
              </w:rPr>
              <w:t>Student (Learner / Candidate)</w:t>
            </w:r>
          </w:p>
        </w:tc>
        <w:tc>
          <w:tcPr>
            <w:tcW w:type="dxa" w:w="3120"/>
            <w:shd w:fill="FFFFFF"/>
            <w:tcMar>
              <w:top w:w="80" w:type="dxa"/>
              <w:bottom w:w="80" w:type="dxa"/>
              <w:left w:w="100" w:type="dxa"/>
              <w:right w:w="100" w:type="dxa"/>
            </w:tcMar>
          </w:tcPr>
          <w:p>
            <w:r>
              <w:rPr>
                <w:sz w:val="17"/>
              </w:rPr>
              <w:t>Personal portal access. Views class schedule, real-time attendance percentage, attendance warning alerts (&lt;80% / &lt;70%), 2-day leave logs, next-day missed class impact simulator, internal marks, exam seating search, submits anonymous feedback.</w:t>
            </w:r>
          </w:p>
        </w:tc>
        <w:tc>
          <w:tcPr>
            <w:tcW w:type="dxa" w:w="3120"/>
            <w:shd w:fill="FFFFFF"/>
            <w:tcMar>
              <w:top w:w="80" w:type="dxa"/>
              <w:bottom w:w="80" w:type="dxa"/>
              <w:left w:w="100" w:type="dxa"/>
              <w:right w:w="100" w:type="dxa"/>
            </w:tcMar>
          </w:tcPr>
          <w:p>
            <w:r>
              <w:rPr>
                <w:sz w:val="17"/>
              </w:rPr>
              <w:t>Strict student-level authorization ensures learners can only view their own academic metrics.</w:t>
            </w:r>
          </w:p>
        </w:tc>
      </w:tr>
      <w:tr>
        <w:tc>
          <w:tcPr>
            <w:tcW w:type="dxa" w:w="3120"/>
            <w:shd w:fill="F8FAFC"/>
            <w:tcMar>
              <w:top w:w="80" w:type="dxa"/>
              <w:bottom w:w="80" w:type="dxa"/>
              <w:left w:w="100" w:type="dxa"/>
              <w:right w:w="100" w:type="dxa"/>
            </w:tcMar>
          </w:tcPr>
          <w:p>
            <w:r>
              <w:rPr>
                <w:b/>
                <w:sz w:val="17"/>
              </w:rPr>
              <w:t>Accountant (Schema Defined)</w:t>
            </w:r>
          </w:p>
        </w:tc>
        <w:tc>
          <w:tcPr>
            <w:tcW w:type="dxa" w:w="3120"/>
            <w:shd w:fill="F8FAFC"/>
            <w:tcMar>
              <w:top w:w="80" w:type="dxa"/>
              <w:bottom w:w="80" w:type="dxa"/>
              <w:left w:w="100" w:type="dxa"/>
              <w:right w:w="100" w:type="dxa"/>
            </w:tcMar>
          </w:tcPr>
          <w:p>
            <w:r>
              <w:rPr>
                <w:sz w:val="17"/>
              </w:rPr>
              <w:t>Defined in User and Staff role schemas for future tuition and fee management expansion.</w:t>
            </w:r>
          </w:p>
        </w:tc>
        <w:tc>
          <w:tcPr>
            <w:tcW w:type="dxa" w:w="3120"/>
            <w:shd w:fill="F8FAFC"/>
            <w:tcMar>
              <w:top w:w="80" w:type="dxa"/>
              <w:bottom w:w="80" w:type="dxa"/>
              <w:left w:w="100" w:type="dxa"/>
              <w:right w:w="100" w:type="dxa"/>
            </w:tcMar>
          </w:tcPr>
          <w:p>
            <w:r>
              <w:rPr>
                <w:sz w:val="17"/>
              </w:rPr>
              <w:t>Partially implemented in model schemas; full transactional billing planned in Phase II.</w:t>
            </w:r>
          </w:p>
        </w:tc>
      </w:tr>
    </w:tbl>
    <w:p>
      <w:pPr>
        <w:spacing w:after="160"/>
      </w:pPr>
    </w:p>
    <w:p>
      <w:pPr>
        <w:keepNext/>
        <w:spacing w:before="320" w:after="120"/>
      </w:pPr>
      <w:r>
        <w:rPr>
          <w:b/>
          <w:color w:val="1E3A8A"/>
          <w:sz w:val="30"/>
        </w:rPr>
        <w:t>4. End-to-End Functional Module Deep-Dive</w:t>
      </w:r>
    </w:p>
    <w:p>
      <w:pPr>
        <w:keepNext/>
        <w:spacing w:before="240" w:after="80"/>
      </w:pPr>
      <w:r>
        <w:rPr>
          <w:b/>
          <w:color w:val="2563EB"/>
          <w:sz w:val="24"/>
        </w:rPr>
        <w:t>4.1 Enterprise Authentication &amp; Session Security [IMPLEMENTED]</w:t>
      </w:r>
    </w:p>
    <w:p>
      <w:r>
        <w:t>Authentication is secured using an industry-standard dual-token architecture that combines transient access tokens with persistent, cryptographically hashed refresh sessions:</w:t>
      </w:r>
    </w:p>
    <w:p>
      <w:r>
        <w:t>• Short-Lived Access Token: Signed with JWT (RS/HS256) valid for 40 minutes on login and refreshed for 20 minutes on sliding activity. Stored in an HttpOnly, Secure, SameSite cookie (`ni_erp_token`).</w:t>
      </w:r>
    </w:p>
    <w:p>
      <w:r>
        <w:t>• Cryptographic Refresh Session: Stored in an HttpOnly cookie (`ni_erp_refresh`) containing a 32-byte CSPRNG token. The backend stores only the SHA-256 hash in MongoDB (`RefreshSession` model) with strict 8-hour total validity from login.</w:t>
      </w:r>
    </w:p>
    <w:p>
      <w:r>
        <w:t>• Proactive Sliding Re-Authentication: When an access token has fewer than 5 minutes remaining, the backend middleware automatically issues a refreshed access token without interrupting the user.</w:t>
      </w:r>
    </w:p>
    <w:p>
      <w:r>
        <w:t>• Instant Global Revocation: Logging out, resetting a password, or changing a password instantly revokes all active refresh sessions in the database, locking out unauthorized sessions across all devices.</w:t>
      </w:r>
    </w:p>
    <w:p>
      <w:r>
        <w:t>• Password Strength Governance: Enforces minimum 8 characters (max 128), bans leading/trailing whitespace, and cross-references against a blacklist of common vulnerable passwords (e.g., 'password123', 'admin123').</w:t>
      </w:r>
    </w:p>
    <w:p>
      <w:r>
        <w:t>• Google OAuth 2.0 Single Sign-On: Validates Google identity tokens against the institutional Google Client ID, auto-linking registered users seamlessly.</w:t>
      </w:r>
    </w:p>
    <w:p>
      <w:pPr>
        <w:keepNext/>
        <w:spacing w:before="240" w:after="80"/>
      </w:pPr>
      <w:r>
        <w:rPr>
          <w:b/>
          <w:color w:val="2563EB"/>
          <w:sz w:val="24"/>
        </w:rPr>
        <w:t>4.2 Student Lifecycle &amp; Admissions Administration [IMPLEMENTED]</w:t>
      </w:r>
    </w:p>
    <w:p>
      <w:r>
        <w:t>The student module maintains an exhaustive academic record for every enrolled learner from admission to graduation:</w:t>
      </w:r>
    </w:p>
    <w:p>
      <w:r>
        <w:t>• Unique Multi-Key Identification: Tracks unique Application Number, Admission Number, Register Number, and Roll Number.</w:t>
      </w:r>
    </w:p>
    <w:p>
      <w:r>
        <w:t>• Scoped Roll Number Uniqueness: Built with a compound index `{ department_code: 1, year: 1, roll_no: 1 }` ensuring roll numbers are strictly unique within their specific department and year without false collision across other departments.</w:t>
      </w:r>
    </w:p>
    <w:p>
      <w:r>
        <w:t>• Complete Biodata &amp; Community Categorization: Accommodates first name, last name (supporting single-letter initials), blood group, religion, community, caste, and unique Aadhar identification.</w:t>
      </w:r>
    </w:p>
    <w:p>
      <w:r>
        <w:t>• Socioeconomic &amp; Quota Tracking: Native flags for First Graduate status, 7.5% Government School quota, special reservation categories, and Differently Abled accessibility tracking.</w:t>
      </w:r>
    </w:p>
    <w:p>
      <w:r>
        <w:t>• Academic Background Validation: Supports Regular (HSC/12th EMIS marks breakdown in Math, Physics, Chemistry) and Lateral Entry (Diploma UMIS branch &amp; percentage) qualifications.</w:t>
      </w:r>
    </w:p>
    <w:p>
      <w:r>
        <w:t>• Biometric Google Drive Sync: Student portraits are streamed securely to Google Drive via OAuth2, generating a permanent `photo_file_id` with cache-busting version parameters (`?v=photo_version`).</w:t>
      </w:r>
    </w:p>
    <w:p>
      <w:pPr>
        <w:keepNext/>
        <w:spacing w:before="240" w:after="80"/>
      </w:pPr>
      <w:r>
        <w:rPr>
          <w:b/>
          <w:color w:val="2563EB"/>
          <w:sz w:val="24"/>
        </w:rPr>
        <w:t>4.3 Faculty &amp; Staff Management [IMPLEMENTED]</w:t>
      </w:r>
    </w:p>
    <w:p>
      <w:r>
        <w:t>Maintains full employment profiles for teaching and administrative personnel, capturing Staff ID, Staff Code, Department mapping, Academic Qualifications (Highest Degree, Specialization, University), Experience Years, Banking Details (Bank Name, Account, IFSC, Branch), Emergency Contacts, and Google Drive biometric portrait uploads.</w:t>
      </w:r>
    </w:p>
    <w:p>
      <w:pPr>
        <w:keepNext/>
        <w:spacing w:before="240" w:after="80"/>
      </w:pPr>
      <w:r>
        <w:rPr>
          <w:b/>
          <w:color w:val="2563EB"/>
          <w:sz w:val="24"/>
        </w:rPr>
        <w:t>4.4 Academic Timetable &amp; Scheduling Engine [IMPLEMENTED]</w:t>
      </w:r>
    </w:p>
    <w:p>
      <w:r>
        <w:t>Coordinates institutional scheduling through a 7-day x 7-period matrix mapping Department, Year, Semester, Subject, Faculty Member, and Lecture Hall. Compound indexes prevent faculty double-booking and room conflicts.</w:t>
      </w:r>
    </w:p>
    <w:p>
      <w:pPr>
        <w:keepNext/>
        <w:spacing w:before="240" w:after="80"/>
      </w:pPr>
      <w:r>
        <w:rPr>
          <w:b/>
          <w:color w:val="2563EB"/>
          <w:sz w:val="24"/>
        </w:rPr>
        <w:t>4.5 Attendance Tracking &amp; Predictive Student Analytics [IMPLEMENTED]</w:t>
      </w:r>
    </w:p>
    <w:p>
      <w:r>
        <w:t>Replaces paper attendance registers with a high-integrity, period-by-period digital workflow:</w:t>
      </w:r>
    </w:p>
    <w:p>
      <w:r>
        <w:t>• Real-Time Digital Register: Subject teachers record attendance per class period with instantaneous database submission.</w:t>
      </w:r>
    </w:p>
    <w:p>
      <w:r>
        <w:t>• Single-Submission Integrity Lock: Compound unique index `{ date: 1, department: 1, year: 1, semester: 1, period: 1 }` strictly prevents accidental duplicate submissions for the same class hour.</w:t>
      </w:r>
    </w:p>
    <w:p>
      <w:r>
        <w:t>• Automated Threshold Alerts: Backend triggers automated push and in-app notifications if a student's attendance drops below 80% (Warning) or below 70% (Critical Exam Ineligibility Alert).</w:t>
      </w:r>
    </w:p>
    <w:p>
      <w:r>
        <w:t>• Recent Leave Log: Displays the student's last 2 days of recorded absences.</w:t>
      </w:r>
    </w:p>
    <w:p>
      <w:r>
        <w:t>• Attendance Impact Simulator: A student self-service projection tool calculating the exact future percentage impact if a student misses 1 or 2 upcoming days, as well as the exact number of consecutive classes required to regain 75% or 80% eligibility.</w:t>
      </w:r>
    </w:p>
    <w:p>
      <w:pPr>
        <w:keepNext/>
        <w:spacing w:before="240" w:after="80"/>
      </w:pPr>
      <w:r>
        <w:rPr>
          <w:b/>
          <w:color w:val="2563EB"/>
          <w:sz w:val="24"/>
        </w:rPr>
        <w:t>4.6 Internal Assessment Marks &amp; Grading Engine [IMPLEMENTED]</w:t>
      </w:r>
    </w:p>
    <w:p>
      <w:r>
        <w:t>Manages continuous internal evaluations across Internal 1, Internal 2, Internal 3, and Model Examinations:</w:t>
      </w:r>
    </w:p>
    <w:p>
      <w:r>
        <w:t>• Component Splitting: Evaluates Theory (Assignments + Written Exam) and Practical laboratory marks separately.</w:t>
      </w:r>
    </w:p>
    <w:p>
      <w:r>
        <w:t>• Subject Assignment Verification: `markPermissions.js` checks the active Master Timetable to ensure faculty can only enter or modify marks for subjects they are officially assigned to teach.</w:t>
      </w:r>
    </w:p>
    <w:p>
      <w:r>
        <w:t>• Composite Uniqueness: Composite index `{ academicYear, department, year, semester, subject, student, internalExam }` prevents double entry.</w:t>
      </w:r>
    </w:p>
    <w:p>
      <w:pPr>
        <w:keepNext/>
        <w:spacing w:before="240" w:after="80"/>
      </w:pPr>
      <w:r>
        <w:rPr>
          <w:b/>
          <w:color w:val="2563EB"/>
          <w:sz w:val="24"/>
        </w:rPr>
        <w:t>4.7 Anonymous Multi-Criteria Faculty Evaluation (Feedback) [IMPLEMENTED]</w:t>
      </w:r>
    </w:p>
    <w:p>
      <w:r>
        <w:t>An unbiased, quality-assurance evaluation module designed to collect actionable student feedback on course delivery:</w:t>
      </w:r>
    </w:p>
    <w:p>
      <w:r>
        <w:t>• 14 Standardized Criteria: Evaluates Subject Knowledge, Clarity of Explanation, Class Regularity, Blackboard/Aids Usage, Fairness of Evaluation, Teacher Sincerity, and Overall Effectiveness on a 1-5 Likert scale.</w:t>
      </w:r>
    </w:p>
    <w:p>
      <w:r>
        <w:t>• Student Anonymity Preservation: Student Register Numbers are utilized exclusively to guarantee a single submission per semester; the reporting dashboard strips all student identifiers, showing faculty only aggregated statistical scores and anonymized qualitative remarks.</w:t>
      </w:r>
    </w:p>
    <w:p>
      <w:r>
        <w:t>• Role-Scoped Visibility: HODs are strictly restricted to inspecting analytics and student submission counts for their own department; Administrators retain institution-wide benchmarking.</w:t>
      </w:r>
    </w:p>
    <w:p>
      <w:r>
        <w:t>• Administrative Reset: Includes a secured deletion endpoint requiring typed phrase verification ('CLEAR ALL RESPONSES') to open fresh feedback cycles.</w:t>
      </w:r>
    </w:p>
    <w:p>
      <w:pPr>
        <w:keepNext/>
        <w:spacing w:before="240" w:after="80"/>
      </w:pPr>
      <w:r>
        <w:rPr>
          <w:b/>
          <w:color w:val="2563EB"/>
          <w:sz w:val="24"/>
        </w:rPr>
        <w:t>4.8 Automated Exam Hall &amp; Seating Arrangement Generator [IMPLEMENTED]</w:t>
      </w:r>
    </w:p>
    <w:p>
      <w:r>
        <w:t>Eliminates manual exam seating preparation through an automated spatial allocation engine:</w:t>
      </w:r>
    </w:p>
    <w:p>
      <w:r>
        <w:t>• Exam Masters &amp; Hall Capacity: Configures examination dates, sessions (FN/AN), and physical hall capacities.</w:t>
      </w:r>
    </w:p>
    <w:p>
      <w:r>
        <w:t>• Candidate Range Importer: Imports roll number sequences across multiple departments simultaneously.</w:t>
      </w:r>
    </w:p>
    <w:p>
      <w:r>
        <w:t>• Collision-Free Seating Algorithm: Distributes candidates across benches using an alternating-department pattern to prevent academic malpractice.</w:t>
      </w:r>
    </w:p>
    <w:p>
      <w:r>
        <w:t>• Student Candidate Search Portal: Enables students to look up their exact examination hall and seat number in seconds.</w:t>
      </w:r>
    </w:p>
    <w:p>
      <w:pPr>
        <w:keepNext/>
        <w:spacing w:before="240" w:after="80"/>
      </w:pPr>
      <w:r>
        <w:rPr>
          <w:b/>
          <w:color w:val="2563EB"/>
          <w:sz w:val="24"/>
        </w:rPr>
        <w:t>4.9 Public Online Admissions &amp; OTP Verification Portal [IMPLEMENTED]</w:t>
      </w:r>
    </w:p>
    <w:p>
      <w:r>
        <w:t>A public candidate acquisition portal seamlessly integrated with the institution's public web presence:</w:t>
      </w:r>
    </w:p>
    <w:p>
      <w:r>
        <w:t>• Cryptographic Email OTP Verification: Issues a 6-digit numeric OTP valid for 5 minutes with IP rate limiting (max 6 requests/hour) before allowing application submission.</w:t>
      </w:r>
    </w:p>
    <w:p>
      <w:r>
        <w:t>• Hall Ticket &amp; Email Duplicate Checks: Blocks duplicate applications in real time.</w:t>
      </w:r>
    </w:p>
    <w:p>
      <w:r>
        <w:t>• Administrative Application Workflow: Reviewers can mark applications as Pending, Accepted, or Rejected with formal remarks.</w:t>
      </w:r>
    </w:p>
    <w:p>
      <w:r>
        <w:t>• Real-Time Candidate Notifications: Automatic HTML email receipts with application tracking links and live push notifications to HODs upon new submissions.</w:t>
      </w:r>
    </w:p>
    <w:p>
      <w:pPr>
        <w:keepNext/>
        <w:spacing w:before="240" w:after="80"/>
      </w:pPr>
      <w:r>
        <w:rPr>
          <w:b/>
          <w:color w:val="2563EB"/>
          <w:sz w:val="24"/>
        </w:rPr>
        <w:t>4.10 Real-Time Communications &amp; Notification Gateway [IMPLEMENTED]</w:t>
      </w:r>
    </w:p>
    <w:p>
      <w:r>
        <w:t>Maintains an active institutional communication channel across web and mobile platforms:</w:t>
      </w:r>
    </w:p>
    <w:p>
      <w:r>
        <w:t>• Universal vs Department Announcements: Posts institutional circulars (pinned, priority flagged) or department-specific notices.</w:t>
      </w:r>
    </w:p>
    <w:p>
      <w:r>
        <w:t>• VAPID Web Push Notifications: Utilizes standard browser Service Workers (`sw.js`) to dispatch native desktop and Android push notifications even when the ERP website is closed.</w:t>
      </w:r>
    </w:p>
    <w:p>
      <w:r>
        <w:t>• Public Website News Ticker API: Public endpoint `/api/news` consumed by the college website header for synchronized news broadcasting.</w:t>
      </w:r>
    </w:p>
    <w:p>
      <w:pPr>
        <w:keepNext/>
        <w:spacing w:before="320" w:after="120"/>
      </w:pPr>
      <w:r>
        <w:rPr>
          <w:b/>
          <w:color w:val="1E3A8A"/>
          <w:sz w:val="30"/>
        </w:rPr>
        <w:t>5. Cybersecurity Architecture &amp; Threat Defense Matrix</w:t>
      </w:r>
    </w:p>
    <w:p>
      <w:r>
        <w:t>An in-depth cybersecurity review of the NICETech ERP codebase was conducted against the OWASP Top 10 web application security standards. Below is the technical evaluation of active security controls: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tcPr>
          <w:p>
            <w:r>
              <w:rPr>
                <w:b/>
                <w:color w:val="FFFFFF"/>
                <w:sz w:val="18"/>
              </w:rPr>
              <w:t>Vulnerability / Threat</w:t>
            </w:r>
          </w:p>
        </w:tc>
        <w:tc>
          <w:tcPr>
            <w:tcW w:type="dxa" w:w="2340"/>
            <w:shd w:fill="1E3A8A"/>
            <w:tcMar>
              <w:top w:w="100" w:type="dxa"/>
              <w:bottom w:w="100" w:type="dxa"/>
              <w:left w:w="120" w:type="dxa"/>
              <w:right w:w="120" w:type="dxa"/>
            </w:tcMar>
          </w:tcPr>
          <w:p>
            <w:r>
              <w:rPr>
                <w:b/>
                <w:color w:val="FFFFFF"/>
                <w:sz w:val="18"/>
              </w:rPr>
              <w:t>Defense Status</w:t>
            </w:r>
          </w:p>
        </w:tc>
        <w:tc>
          <w:tcPr>
            <w:tcW w:type="dxa" w:w="2340"/>
            <w:shd w:fill="1E3A8A"/>
            <w:tcMar>
              <w:top w:w="100" w:type="dxa"/>
              <w:bottom w:w="100" w:type="dxa"/>
              <w:left w:w="120" w:type="dxa"/>
              <w:right w:w="120" w:type="dxa"/>
            </w:tcMar>
          </w:tcPr>
          <w:p>
            <w:r>
              <w:rPr>
                <w:b/>
                <w:color w:val="FFFFFF"/>
                <w:sz w:val="18"/>
              </w:rPr>
              <w:t>Implementation Mechanism</w:t>
            </w:r>
          </w:p>
        </w:tc>
        <w:tc>
          <w:tcPr>
            <w:tcW w:type="dxa" w:w="2340"/>
            <w:shd w:fill="1E3A8A"/>
            <w:tcMar>
              <w:top w:w="100" w:type="dxa"/>
              <w:bottom w:w="100" w:type="dxa"/>
              <w:left w:w="120" w:type="dxa"/>
              <w:right w:w="120" w:type="dxa"/>
            </w:tcMar>
          </w:tcPr>
          <w:p>
            <w:r>
              <w:rPr>
                <w:b/>
                <w:color w:val="FFFFFF"/>
                <w:sz w:val="18"/>
              </w:rPr>
              <w:t>Code Evidence / Technical Guarantee</w:t>
            </w:r>
          </w:p>
        </w:tc>
      </w:tr>
      <w:tr>
        <w:tc>
          <w:tcPr>
            <w:tcW w:type="dxa" w:w="2340"/>
            <w:shd w:fill="F8FAFC"/>
            <w:tcMar>
              <w:top w:w="80" w:type="dxa"/>
              <w:bottom w:w="80" w:type="dxa"/>
              <w:left w:w="100" w:type="dxa"/>
              <w:right w:w="100" w:type="dxa"/>
            </w:tcMar>
          </w:tcPr>
          <w:p>
            <w:r>
              <w:rPr>
                <w:b/>
                <w:sz w:val="16"/>
              </w:rPr>
              <w:t>SQL Injection / NoSQL Injection</w:t>
            </w:r>
          </w:p>
        </w:tc>
        <w:tc>
          <w:tcPr>
            <w:tcW w:type="dxa" w:w="2340"/>
            <w:shd w:fill="F8FAFC"/>
            <w:tcMar>
              <w:top w:w="80" w:type="dxa"/>
              <w:bottom w:w="80" w:type="dxa"/>
              <w:left w:w="100" w:type="dxa"/>
              <w:right w:w="100" w:type="dxa"/>
            </w:tcMar>
          </w:tcPr>
          <w:p>
            <w:r>
              <w:rPr>
                <w:b/>
                <w:color w:val="16A34A"/>
                <w:sz w:val="16"/>
              </w:rPr>
              <w:t>IMPLEMENTED</w:t>
            </w:r>
          </w:p>
        </w:tc>
        <w:tc>
          <w:tcPr>
            <w:tcW w:type="dxa" w:w="2340"/>
            <w:shd w:fill="F8FAFC"/>
            <w:tcMar>
              <w:top w:w="80" w:type="dxa"/>
              <w:bottom w:w="80" w:type="dxa"/>
              <w:left w:w="100" w:type="dxa"/>
              <w:right w:w="100" w:type="dxa"/>
            </w:tcMar>
          </w:tcPr>
          <w:p>
            <w:r>
              <w:rPr>
                <w:sz w:val="16"/>
              </w:rPr>
              <w:t>Mongoose Object Document Mapping &amp; Parameterized Queries</w:t>
            </w:r>
          </w:p>
        </w:tc>
        <w:tc>
          <w:tcPr>
            <w:tcW w:type="dxa" w:w="2340"/>
            <w:shd w:fill="F8FAFC"/>
            <w:tcMar>
              <w:top w:w="80" w:type="dxa"/>
              <w:bottom w:w="80" w:type="dxa"/>
              <w:left w:w="100" w:type="dxa"/>
              <w:right w:w="100" w:type="dxa"/>
            </w:tcMar>
          </w:tcPr>
          <w:p>
            <w:r>
              <w:rPr>
                <w:sz w:val="16"/>
              </w:rPr>
              <w:t>All database operations use Mongoose schemas with strict data typing. No string concatenation or raw $where queries exist.</w:t>
            </w:r>
          </w:p>
        </w:tc>
      </w:tr>
      <w:tr>
        <w:tc>
          <w:tcPr>
            <w:tcW w:type="dxa" w:w="2340"/>
            <w:shd w:fill="FFFFFF"/>
            <w:tcMar>
              <w:top w:w="80" w:type="dxa"/>
              <w:bottom w:w="80" w:type="dxa"/>
              <w:left w:w="100" w:type="dxa"/>
              <w:right w:w="100" w:type="dxa"/>
            </w:tcMar>
          </w:tcPr>
          <w:p>
            <w:r>
              <w:rPr>
                <w:b/>
                <w:sz w:val="16"/>
              </w:rPr>
              <w:t>Cross-Site Scripting (XSS)</w:t>
            </w:r>
          </w:p>
        </w:tc>
        <w:tc>
          <w:tcPr>
            <w:tcW w:type="dxa" w:w="2340"/>
            <w:shd w:fill="FFFFFF"/>
            <w:tcMar>
              <w:top w:w="80" w:type="dxa"/>
              <w:bottom w:w="80" w:type="dxa"/>
              <w:left w:w="100" w:type="dxa"/>
              <w:right w:w="100" w:type="dxa"/>
            </w:tcMar>
          </w:tcPr>
          <w:p>
            <w:r>
              <w:rPr>
                <w:b/>
                <w:color w:val="16A34A"/>
                <w:sz w:val="16"/>
              </w:rPr>
              <w:t>IMPLEMENTED</w:t>
            </w:r>
          </w:p>
        </w:tc>
        <w:tc>
          <w:tcPr>
            <w:tcW w:type="dxa" w:w="2340"/>
            <w:shd w:fill="FFFFFF"/>
            <w:tcMar>
              <w:top w:w="80" w:type="dxa"/>
              <w:bottom w:w="80" w:type="dxa"/>
              <w:left w:w="100" w:type="dxa"/>
              <w:right w:w="100" w:type="dxa"/>
            </w:tcMar>
          </w:tcPr>
          <w:p>
            <w:r>
              <w:rPr>
                <w:sz w:val="16"/>
              </w:rPr>
              <w:t>Helmet HTTP Security Headers &amp; React JSX Escaping</w:t>
            </w:r>
          </w:p>
        </w:tc>
        <w:tc>
          <w:tcPr>
            <w:tcW w:type="dxa" w:w="2340"/>
            <w:shd w:fill="FFFFFF"/>
            <w:tcMar>
              <w:top w:w="80" w:type="dxa"/>
              <w:bottom w:w="80" w:type="dxa"/>
              <w:left w:w="100" w:type="dxa"/>
              <w:right w:w="100" w:type="dxa"/>
            </w:tcMar>
          </w:tcPr>
          <w:p>
            <w:r>
              <w:rPr>
                <w:sz w:val="16"/>
              </w:rPr>
              <w:t>Helmet middleware sets Cross-Origin policies. React auto-escapes string rendering. Rich HTML emails sanitize dynamic variables.</w:t>
            </w:r>
          </w:p>
        </w:tc>
      </w:tr>
      <w:tr>
        <w:tc>
          <w:tcPr>
            <w:tcW w:type="dxa" w:w="2340"/>
            <w:shd w:fill="F8FAFC"/>
            <w:tcMar>
              <w:top w:w="80" w:type="dxa"/>
              <w:bottom w:w="80" w:type="dxa"/>
              <w:left w:w="100" w:type="dxa"/>
              <w:right w:w="100" w:type="dxa"/>
            </w:tcMar>
          </w:tcPr>
          <w:p>
            <w:r>
              <w:rPr>
                <w:b/>
                <w:sz w:val="16"/>
              </w:rPr>
              <w:t>Cross-Site Request Forgery (CSRF)</w:t>
            </w:r>
          </w:p>
        </w:tc>
        <w:tc>
          <w:tcPr>
            <w:tcW w:type="dxa" w:w="2340"/>
            <w:shd w:fill="F8FAFC"/>
            <w:tcMar>
              <w:top w:w="80" w:type="dxa"/>
              <w:bottom w:w="80" w:type="dxa"/>
              <w:left w:w="100" w:type="dxa"/>
              <w:right w:w="100" w:type="dxa"/>
            </w:tcMar>
          </w:tcPr>
          <w:p>
            <w:r>
              <w:rPr>
                <w:b/>
                <w:color w:val="16A34A"/>
                <w:sz w:val="16"/>
              </w:rPr>
              <w:t>IMPLEMENTED</w:t>
            </w:r>
          </w:p>
        </w:tc>
        <w:tc>
          <w:tcPr>
            <w:tcW w:type="dxa" w:w="2340"/>
            <w:shd w:fill="F8FAFC"/>
            <w:tcMar>
              <w:top w:w="80" w:type="dxa"/>
              <w:bottom w:w="80" w:type="dxa"/>
              <w:left w:w="100" w:type="dxa"/>
              <w:right w:w="100" w:type="dxa"/>
            </w:tcMar>
          </w:tcPr>
          <w:p>
            <w:r>
              <w:rPr>
                <w:sz w:val="16"/>
              </w:rPr>
              <w:t>SameSite Cookie Policy &amp; Strict CORS Whitelist</w:t>
            </w:r>
          </w:p>
        </w:tc>
        <w:tc>
          <w:tcPr>
            <w:tcW w:type="dxa" w:w="2340"/>
            <w:shd w:fill="F8FAFC"/>
            <w:tcMar>
              <w:top w:w="80" w:type="dxa"/>
              <w:bottom w:w="80" w:type="dxa"/>
              <w:left w:w="100" w:type="dxa"/>
              <w:right w:w="100" w:type="dxa"/>
            </w:tcMar>
          </w:tcPr>
          <w:p>
            <w:r>
              <w:rPr>
                <w:sz w:val="16"/>
              </w:rPr>
              <w:t>Cookies configured with sameSite: 'none' (prod) / 'lax' (dev), secure: isProd. CORS whitelist restricted to trusted domains.</w:t>
            </w:r>
          </w:p>
        </w:tc>
      </w:tr>
      <w:tr>
        <w:tc>
          <w:tcPr>
            <w:tcW w:type="dxa" w:w="2340"/>
            <w:shd w:fill="FFFFFF"/>
            <w:tcMar>
              <w:top w:w="80" w:type="dxa"/>
              <w:bottom w:w="80" w:type="dxa"/>
              <w:left w:w="100" w:type="dxa"/>
              <w:right w:w="100" w:type="dxa"/>
            </w:tcMar>
          </w:tcPr>
          <w:p>
            <w:r>
              <w:rPr>
                <w:b/>
                <w:sz w:val="16"/>
              </w:rPr>
              <w:t>Brute-Force &amp; Credential Stuffing</w:t>
            </w:r>
          </w:p>
        </w:tc>
        <w:tc>
          <w:tcPr>
            <w:tcW w:type="dxa" w:w="2340"/>
            <w:shd w:fill="FFFFFF"/>
            <w:tcMar>
              <w:top w:w="80" w:type="dxa"/>
              <w:bottom w:w="80" w:type="dxa"/>
              <w:left w:w="100" w:type="dxa"/>
              <w:right w:w="100" w:type="dxa"/>
            </w:tcMar>
          </w:tcPr>
          <w:p>
            <w:r>
              <w:rPr>
                <w:b/>
                <w:color w:val="16A34A"/>
                <w:sz w:val="16"/>
              </w:rPr>
              <w:t>IMPLEMENTED</w:t>
            </w:r>
          </w:p>
        </w:tc>
        <w:tc>
          <w:tcPr>
            <w:tcW w:type="dxa" w:w="2340"/>
            <w:shd w:fill="FFFFFF"/>
            <w:tcMar>
              <w:top w:w="80" w:type="dxa"/>
              <w:bottom w:w="80" w:type="dxa"/>
              <w:left w:w="100" w:type="dxa"/>
              <w:right w:w="100" w:type="dxa"/>
            </w:tcMar>
          </w:tcPr>
          <w:p>
            <w:r>
              <w:rPr>
                <w:sz w:val="16"/>
              </w:rPr>
              <w:t>express-rate-limit IP Windowing</w:t>
            </w:r>
          </w:p>
        </w:tc>
        <w:tc>
          <w:tcPr>
            <w:tcW w:type="dxa" w:w="2340"/>
            <w:shd w:fill="FFFFFF"/>
            <w:tcMar>
              <w:top w:w="80" w:type="dxa"/>
              <w:bottom w:w="80" w:type="dxa"/>
              <w:left w:w="100" w:type="dxa"/>
              <w:right w:w="100" w:type="dxa"/>
            </w:tcMar>
          </w:tcPr>
          <w:p>
            <w:r>
              <w:rPr>
                <w:sz w:val="16"/>
              </w:rPr>
              <w:t>Login limiter allows max 7 attempts / 15m. Forgot-password allows max 3 attempts / 15m. Admission OTP allows max 6 / hr.</w:t>
            </w:r>
          </w:p>
        </w:tc>
      </w:tr>
      <w:tr>
        <w:tc>
          <w:tcPr>
            <w:tcW w:type="dxa" w:w="2340"/>
            <w:shd w:fill="F8FAFC"/>
            <w:tcMar>
              <w:top w:w="80" w:type="dxa"/>
              <w:bottom w:w="80" w:type="dxa"/>
              <w:left w:w="100" w:type="dxa"/>
              <w:right w:w="100" w:type="dxa"/>
            </w:tcMar>
          </w:tcPr>
          <w:p>
            <w:r>
              <w:rPr>
                <w:b/>
                <w:sz w:val="16"/>
              </w:rPr>
              <w:t>Password Storage Vulnerability</w:t>
            </w:r>
          </w:p>
        </w:tc>
        <w:tc>
          <w:tcPr>
            <w:tcW w:type="dxa" w:w="2340"/>
            <w:shd w:fill="F8FAFC"/>
            <w:tcMar>
              <w:top w:w="80" w:type="dxa"/>
              <w:bottom w:w="80" w:type="dxa"/>
              <w:left w:w="100" w:type="dxa"/>
              <w:right w:w="100" w:type="dxa"/>
            </w:tcMar>
          </w:tcPr>
          <w:p>
            <w:r>
              <w:rPr>
                <w:b/>
                <w:color w:val="16A34A"/>
                <w:sz w:val="16"/>
              </w:rPr>
              <w:t>IMPLEMENTED</w:t>
            </w:r>
          </w:p>
        </w:tc>
        <w:tc>
          <w:tcPr>
            <w:tcW w:type="dxa" w:w="2340"/>
            <w:shd w:fill="F8FAFC"/>
            <w:tcMar>
              <w:top w:w="80" w:type="dxa"/>
              <w:bottom w:w="80" w:type="dxa"/>
              <w:left w:w="100" w:type="dxa"/>
              <w:right w:w="100" w:type="dxa"/>
            </w:tcMar>
          </w:tcPr>
          <w:p>
            <w:r>
              <w:rPr>
                <w:sz w:val="16"/>
              </w:rPr>
              <w:t>bcrypt Password Hashing (Salt Rounds = 10)</w:t>
            </w:r>
          </w:p>
        </w:tc>
        <w:tc>
          <w:tcPr>
            <w:tcW w:type="dxa" w:w="2340"/>
            <w:shd w:fill="F8FAFC"/>
            <w:tcMar>
              <w:top w:w="80" w:type="dxa"/>
              <w:bottom w:w="80" w:type="dxa"/>
              <w:left w:w="100" w:type="dxa"/>
              <w:right w:w="100" w:type="dxa"/>
            </w:tcMar>
          </w:tcPr>
          <w:p>
            <w:r>
              <w:rPr>
                <w:sz w:val="16"/>
              </w:rPr>
              <w:t>Pre-save hooks in UserSchema automatically hash passwords using bcrypt with salt rounds=10. Plaintext passwords never stored.</w:t>
            </w:r>
          </w:p>
        </w:tc>
      </w:tr>
      <w:tr>
        <w:tc>
          <w:tcPr>
            <w:tcW w:type="dxa" w:w="2340"/>
            <w:shd w:fill="FFFFFF"/>
            <w:tcMar>
              <w:top w:w="80" w:type="dxa"/>
              <w:bottom w:w="80" w:type="dxa"/>
              <w:left w:w="100" w:type="dxa"/>
              <w:right w:w="100" w:type="dxa"/>
            </w:tcMar>
          </w:tcPr>
          <w:p>
            <w:r>
              <w:rPr>
                <w:b/>
                <w:sz w:val="16"/>
              </w:rPr>
              <w:t>Broken Session Management</w:t>
            </w:r>
          </w:p>
        </w:tc>
        <w:tc>
          <w:tcPr>
            <w:tcW w:type="dxa" w:w="2340"/>
            <w:shd w:fill="FFFFFF"/>
            <w:tcMar>
              <w:top w:w="80" w:type="dxa"/>
              <w:bottom w:w="80" w:type="dxa"/>
              <w:left w:w="100" w:type="dxa"/>
              <w:right w:w="100" w:type="dxa"/>
            </w:tcMar>
          </w:tcPr>
          <w:p>
            <w:r>
              <w:rPr>
                <w:b/>
                <w:color w:val="16A34A"/>
                <w:sz w:val="16"/>
              </w:rPr>
              <w:t>IMPLEMENTED</w:t>
            </w:r>
          </w:p>
        </w:tc>
        <w:tc>
          <w:tcPr>
            <w:tcW w:type="dxa" w:w="2340"/>
            <w:shd w:fill="FFFFFF"/>
            <w:tcMar>
              <w:top w:w="80" w:type="dxa"/>
              <w:bottom w:w="80" w:type="dxa"/>
              <w:left w:w="100" w:type="dxa"/>
              <w:right w:w="100" w:type="dxa"/>
            </w:tcMar>
          </w:tcPr>
          <w:p>
            <w:r>
              <w:rPr>
                <w:sz w:val="16"/>
              </w:rPr>
              <w:t>CSPRNG Refresh Sessions &amp; SHA-256 Hashing</w:t>
            </w:r>
          </w:p>
        </w:tc>
        <w:tc>
          <w:tcPr>
            <w:tcW w:type="dxa" w:w="2340"/>
            <w:shd w:fill="FFFFFF"/>
            <w:tcMar>
              <w:top w:w="80" w:type="dxa"/>
              <w:bottom w:w="80" w:type="dxa"/>
              <w:left w:w="100" w:type="dxa"/>
              <w:right w:w="100" w:type="dxa"/>
            </w:tcMar>
          </w:tcPr>
          <w:p>
            <w:r>
              <w:rPr>
                <w:sz w:val="16"/>
              </w:rPr>
              <w:t>Refresh tokens generated via crypto.randomBytes(32). Database stores only SHA-256 token hash with strict 8-hour total lifetime.</w:t>
            </w:r>
          </w:p>
        </w:tc>
      </w:tr>
      <w:tr>
        <w:tc>
          <w:tcPr>
            <w:tcW w:type="dxa" w:w="2340"/>
            <w:shd w:fill="F8FAFC"/>
            <w:tcMar>
              <w:top w:w="80" w:type="dxa"/>
              <w:bottom w:w="80" w:type="dxa"/>
              <w:left w:w="100" w:type="dxa"/>
              <w:right w:w="100" w:type="dxa"/>
            </w:tcMar>
          </w:tcPr>
          <w:p>
            <w:r>
              <w:rPr>
                <w:b/>
                <w:sz w:val="16"/>
              </w:rPr>
              <w:t>Insecure Direct Object Reference (IDOR)</w:t>
            </w:r>
          </w:p>
        </w:tc>
        <w:tc>
          <w:tcPr>
            <w:tcW w:type="dxa" w:w="2340"/>
            <w:shd w:fill="F8FAFC"/>
            <w:tcMar>
              <w:top w:w="80" w:type="dxa"/>
              <w:bottom w:w="80" w:type="dxa"/>
              <w:left w:w="100" w:type="dxa"/>
              <w:right w:w="100" w:type="dxa"/>
            </w:tcMar>
          </w:tcPr>
          <w:p>
            <w:r>
              <w:rPr>
                <w:b/>
                <w:color w:val="16A34A"/>
                <w:sz w:val="16"/>
              </w:rPr>
              <w:t>IMPLEMENTED</w:t>
            </w:r>
          </w:p>
        </w:tc>
        <w:tc>
          <w:tcPr>
            <w:tcW w:type="dxa" w:w="2340"/>
            <w:shd w:fill="F8FAFC"/>
            <w:tcMar>
              <w:top w:w="80" w:type="dxa"/>
              <w:bottom w:w="80" w:type="dxa"/>
              <w:left w:w="100" w:type="dxa"/>
              <w:right w:w="100" w:type="dxa"/>
            </w:tcMar>
          </w:tcPr>
          <w:p>
            <w:r>
              <w:rPr>
                <w:sz w:val="16"/>
              </w:rPr>
              <w:t>Backend Role &amp; Department Verification Middleware</w:t>
            </w:r>
          </w:p>
        </w:tc>
        <w:tc>
          <w:tcPr>
            <w:tcW w:type="dxa" w:w="2340"/>
            <w:shd w:fill="F8FAFC"/>
            <w:tcMar>
              <w:top w:w="80" w:type="dxa"/>
              <w:bottom w:w="80" w:type="dxa"/>
              <w:left w:w="100" w:type="dxa"/>
              <w:right w:w="100" w:type="dxa"/>
            </w:tcMar>
          </w:tcPr>
          <w:p>
            <w:r>
              <w:rPr>
                <w:sz w:val="16"/>
              </w:rPr>
              <w:t>verifyToken and verify-dep middlewares inspect user role and enforce department boundaries on all mutation routes.</w:t>
            </w:r>
          </w:p>
        </w:tc>
      </w:tr>
      <w:tr>
        <w:tc>
          <w:tcPr>
            <w:tcW w:type="dxa" w:w="2340"/>
            <w:shd w:fill="FFFFFF"/>
            <w:tcMar>
              <w:top w:w="80" w:type="dxa"/>
              <w:bottom w:w="80" w:type="dxa"/>
              <w:left w:w="100" w:type="dxa"/>
              <w:right w:w="100" w:type="dxa"/>
            </w:tcMar>
          </w:tcPr>
          <w:p>
            <w:r>
              <w:rPr>
                <w:b/>
                <w:sz w:val="16"/>
              </w:rPr>
              <w:t>Unauthorized Grade Modification</w:t>
            </w:r>
          </w:p>
        </w:tc>
        <w:tc>
          <w:tcPr>
            <w:tcW w:type="dxa" w:w="2340"/>
            <w:shd w:fill="FFFFFF"/>
            <w:tcMar>
              <w:top w:w="80" w:type="dxa"/>
              <w:bottom w:w="80" w:type="dxa"/>
              <w:left w:w="100" w:type="dxa"/>
              <w:right w:w="100" w:type="dxa"/>
            </w:tcMar>
          </w:tcPr>
          <w:p>
            <w:r>
              <w:rPr>
                <w:b/>
                <w:color w:val="16A34A"/>
                <w:sz w:val="16"/>
              </w:rPr>
              <w:t>IMPLEMENTED</w:t>
            </w:r>
          </w:p>
        </w:tc>
        <w:tc>
          <w:tcPr>
            <w:tcW w:type="dxa" w:w="2340"/>
            <w:shd w:fill="FFFFFF"/>
            <w:tcMar>
              <w:top w:w="80" w:type="dxa"/>
              <w:bottom w:w="80" w:type="dxa"/>
              <w:left w:w="100" w:type="dxa"/>
              <w:right w:w="100" w:type="dxa"/>
            </w:tcMar>
          </w:tcPr>
          <w:p>
            <w:r>
              <w:rPr>
                <w:sz w:val="16"/>
              </w:rPr>
              <w:t>Timetable Assignment Verification</w:t>
            </w:r>
          </w:p>
        </w:tc>
        <w:tc>
          <w:tcPr>
            <w:tcW w:type="dxa" w:w="2340"/>
            <w:shd w:fill="FFFFFF"/>
            <w:tcMar>
              <w:top w:w="80" w:type="dxa"/>
              <w:bottom w:w="80" w:type="dxa"/>
              <w:left w:w="100" w:type="dxa"/>
              <w:right w:w="100" w:type="dxa"/>
            </w:tcMar>
          </w:tcPr>
          <w:p>
            <w:r>
              <w:rPr>
                <w:sz w:val="16"/>
              </w:rPr>
              <w:t>markPermissions.js verifies faculty timetable assignment before accepting internal marks entry.</w:t>
            </w:r>
          </w:p>
        </w:tc>
      </w:tr>
      <w:tr>
        <w:tc>
          <w:tcPr>
            <w:tcW w:type="dxa" w:w="2340"/>
            <w:shd w:fill="F8FAFC"/>
            <w:tcMar>
              <w:top w:w="80" w:type="dxa"/>
              <w:bottom w:w="80" w:type="dxa"/>
              <w:left w:w="100" w:type="dxa"/>
              <w:right w:w="100" w:type="dxa"/>
            </w:tcMar>
          </w:tcPr>
          <w:p>
            <w:r>
              <w:rPr>
                <w:b/>
                <w:sz w:val="16"/>
              </w:rPr>
              <w:t>Reverse Proxy IP Spoofing</w:t>
            </w:r>
          </w:p>
        </w:tc>
        <w:tc>
          <w:tcPr>
            <w:tcW w:type="dxa" w:w="2340"/>
            <w:shd w:fill="F8FAFC"/>
            <w:tcMar>
              <w:top w:w="80" w:type="dxa"/>
              <w:bottom w:w="80" w:type="dxa"/>
              <w:left w:w="100" w:type="dxa"/>
              <w:right w:w="100" w:type="dxa"/>
            </w:tcMar>
          </w:tcPr>
          <w:p>
            <w:r>
              <w:rPr>
                <w:b/>
                <w:color w:val="16A34A"/>
                <w:sz w:val="16"/>
              </w:rPr>
              <w:t>IMPLEMENTED</w:t>
            </w:r>
          </w:p>
        </w:tc>
        <w:tc>
          <w:tcPr>
            <w:tcW w:type="dxa" w:w="2340"/>
            <w:shd w:fill="F8FAFC"/>
            <w:tcMar>
              <w:top w:w="80" w:type="dxa"/>
              <w:bottom w:w="80" w:type="dxa"/>
              <w:left w:w="100" w:type="dxa"/>
              <w:right w:w="100" w:type="dxa"/>
            </w:tcMar>
          </w:tcPr>
          <w:p>
            <w:r>
              <w:rPr>
                <w:sz w:val="16"/>
              </w:rPr>
              <w:t>Express Trust Proxy Configuration</w:t>
            </w:r>
          </w:p>
        </w:tc>
        <w:tc>
          <w:tcPr>
            <w:tcW w:type="dxa" w:w="2340"/>
            <w:shd w:fill="F8FAFC"/>
            <w:tcMar>
              <w:top w:w="80" w:type="dxa"/>
              <w:bottom w:w="80" w:type="dxa"/>
              <w:left w:w="100" w:type="dxa"/>
              <w:right w:w="100" w:type="dxa"/>
            </w:tcMar>
          </w:tcPr>
          <w:p>
            <w:r>
              <w:rPr>
                <w:sz w:val="16"/>
              </w:rPr>
              <w:t>app.set('trust proxy', 1) correctly resolves client IPs through upstream reverse proxies (Nginx/Cloudflare) for rate limiting.</w:t>
            </w:r>
          </w:p>
        </w:tc>
      </w:tr>
      <w:tr>
        <w:tc>
          <w:tcPr>
            <w:tcW w:type="dxa" w:w="2340"/>
            <w:shd w:fill="FFFFFF"/>
            <w:tcMar>
              <w:top w:w="80" w:type="dxa"/>
              <w:bottom w:w="80" w:type="dxa"/>
              <w:left w:w="100" w:type="dxa"/>
              <w:right w:w="100" w:type="dxa"/>
            </w:tcMar>
          </w:tcPr>
          <w:p>
            <w:r>
              <w:rPr>
                <w:b/>
                <w:sz w:val="16"/>
              </w:rPr>
              <w:t>Biometric Media Exposure</w:t>
            </w:r>
          </w:p>
        </w:tc>
        <w:tc>
          <w:tcPr>
            <w:tcW w:type="dxa" w:w="2340"/>
            <w:shd w:fill="FFFFFF"/>
            <w:tcMar>
              <w:top w:w="80" w:type="dxa"/>
              <w:bottom w:w="80" w:type="dxa"/>
              <w:left w:w="100" w:type="dxa"/>
              <w:right w:w="100" w:type="dxa"/>
            </w:tcMar>
          </w:tcPr>
          <w:p>
            <w:r>
              <w:rPr>
                <w:b/>
                <w:color w:val="16A34A"/>
                <w:sz w:val="16"/>
              </w:rPr>
              <w:t>IMPLEMENTED</w:t>
            </w:r>
          </w:p>
        </w:tc>
        <w:tc>
          <w:tcPr>
            <w:tcW w:type="dxa" w:w="2340"/>
            <w:shd w:fill="FFFFFF"/>
            <w:tcMar>
              <w:top w:w="80" w:type="dxa"/>
              <w:bottom w:w="80" w:type="dxa"/>
              <w:left w:w="100" w:type="dxa"/>
              <w:right w:w="100" w:type="dxa"/>
            </w:tcMar>
          </w:tcPr>
          <w:p>
            <w:r>
              <w:rPr>
                <w:sz w:val="16"/>
              </w:rPr>
              <w:t>Google Drive OAuth2 Stream Proxying</w:t>
            </w:r>
          </w:p>
        </w:tc>
        <w:tc>
          <w:tcPr>
            <w:tcW w:type="dxa" w:w="2340"/>
            <w:shd w:fill="FFFFFF"/>
            <w:tcMar>
              <w:top w:w="80" w:type="dxa"/>
              <w:bottom w:w="80" w:type="dxa"/>
              <w:left w:w="100" w:type="dxa"/>
              <w:right w:w="100" w:type="dxa"/>
            </w:tcMar>
          </w:tcPr>
          <w:p>
            <w:r>
              <w:rPr>
                <w:sz w:val="16"/>
              </w:rPr>
              <w:t>Biometric portraits are fetched securely via backend stream proxying without exposing public Google Drive folder permissions.</w:t>
            </w:r>
          </w:p>
        </w:tc>
      </w:tr>
    </w:tbl>
    <w:p>
      <w:pPr>
        <w:spacing w:after="160"/>
      </w:pPr>
    </w:p>
    <w:p>
      <w:pPr>
        <w:keepNext/>
        <w:spacing w:before="320" w:after="120"/>
      </w:pPr>
      <w:r>
        <w:rPr>
          <w:b/>
          <w:color w:val="1E3A8A"/>
          <w:sz w:val="30"/>
        </w:rPr>
        <w:t>6. Database Architecture &amp; Data Integrity Safeguards</w:t>
      </w:r>
    </w:p>
    <w:p>
      <w:r>
        <w:t>The persistence layer is structured around 21 specialized Mongoose models in MongoDB. Data consistency and race conditions are mitigated through targeted compound indexing and database constraints: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120" w:type="dxa"/>
              <w:right w:w="120" w:type="dxa"/>
            </w:tcMar>
          </w:tcPr>
          <w:p>
            <w:r>
              <w:rPr>
                <w:b/>
                <w:color w:val="FFFFFF"/>
                <w:sz w:val="18"/>
              </w:rPr>
              <w:t>Model Name</w:t>
            </w:r>
          </w:p>
        </w:tc>
        <w:tc>
          <w:tcPr>
            <w:tcW w:type="dxa" w:w="3120"/>
            <w:shd w:fill="1E3A8A"/>
            <w:tcMar>
              <w:top w:w="100" w:type="dxa"/>
              <w:bottom w:w="100" w:type="dxa"/>
              <w:left w:w="120" w:type="dxa"/>
              <w:right w:w="120" w:type="dxa"/>
            </w:tcMar>
          </w:tcPr>
          <w:p>
            <w:r>
              <w:rPr>
                <w:b/>
                <w:color w:val="FFFFFF"/>
                <w:sz w:val="18"/>
              </w:rPr>
              <w:t>Primary Functional Scope</w:t>
            </w:r>
          </w:p>
        </w:tc>
        <w:tc>
          <w:tcPr>
            <w:tcW w:type="dxa" w:w="3120"/>
            <w:shd w:fill="1E3A8A"/>
            <w:tcMar>
              <w:top w:w="100" w:type="dxa"/>
              <w:bottom w:w="100" w:type="dxa"/>
              <w:left w:w="120" w:type="dxa"/>
              <w:right w:w="120" w:type="dxa"/>
            </w:tcMar>
          </w:tcPr>
          <w:p>
            <w:r>
              <w:rPr>
                <w:b/>
                <w:color w:val="FFFFFF"/>
                <w:sz w:val="18"/>
              </w:rPr>
              <w:t>Critical Indexing &amp; Constraint Strategy</w:t>
            </w:r>
          </w:p>
        </w:tc>
      </w:tr>
      <w:tr>
        <w:tc>
          <w:tcPr>
            <w:tcW w:type="dxa" w:w="3120"/>
            <w:shd w:fill="F8FAFC"/>
            <w:tcMar>
              <w:top w:w="80" w:type="dxa"/>
              <w:bottom w:w="80" w:type="dxa"/>
              <w:left w:w="100" w:type="dxa"/>
              <w:right w:w="100" w:type="dxa"/>
            </w:tcMar>
          </w:tcPr>
          <w:p>
            <w:r>
              <w:rPr>
                <w:b/>
                <w:sz w:val="17"/>
              </w:rPr>
              <w:t>User</w:t>
            </w:r>
          </w:p>
        </w:tc>
        <w:tc>
          <w:tcPr>
            <w:tcW w:type="dxa" w:w="3120"/>
            <w:shd w:fill="F8FAFC"/>
            <w:tcMar>
              <w:top w:w="80" w:type="dxa"/>
              <w:bottom w:w="80" w:type="dxa"/>
              <w:left w:w="100" w:type="dxa"/>
              <w:right w:w="100" w:type="dxa"/>
            </w:tcMar>
          </w:tcPr>
          <w:p>
            <w:r>
              <w:rPr>
                <w:sz w:val="17"/>
              </w:rPr>
              <w:t>System authentication, roles, password hashes, and active flags</w:t>
            </w:r>
          </w:p>
        </w:tc>
        <w:tc>
          <w:tcPr>
            <w:tcW w:type="dxa" w:w="3120"/>
            <w:shd w:fill="F8FAFC"/>
            <w:tcMar>
              <w:top w:w="80" w:type="dxa"/>
              <w:bottom w:w="80" w:type="dxa"/>
              <w:left w:w="100" w:type="dxa"/>
              <w:right w:w="100" w:type="dxa"/>
            </w:tcMar>
          </w:tcPr>
          <w:p>
            <w:r>
              <w:rPr>
                <w:sz w:val="17"/>
              </w:rPr>
              <w:t>Unique email, unique username, isActive index</w:t>
            </w:r>
          </w:p>
        </w:tc>
      </w:tr>
      <w:tr>
        <w:tc>
          <w:tcPr>
            <w:tcW w:type="dxa" w:w="3120"/>
            <w:shd w:fill="FFFFFF"/>
            <w:tcMar>
              <w:top w:w="80" w:type="dxa"/>
              <w:bottom w:w="80" w:type="dxa"/>
              <w:left w:w="100" w:type="dxa"/>
              <w:right w:w="100" w:type="dxa"/>
            </w:tcMar>
          </w:tcPr>
          <w:p>
            <w:r>
              <w:rPr>
                <w:b/>
                <w:sz w:val="17"/>
              </w:rPr>
              <w:t>Student</w:t>
            </w:r>
          </w:p>
        </w:tc>
        <w:tc>
          <w:tcPr>
            <w:tcW w:type="dxa" w:w="3120"/>
            <w:shd w:fill="FFFFFF"/>
            <w:tcMar>
              <w:top w:w="80" w:type="dxa"/>
              <w:bottom w:w="80" w:type="dxa"/>
              <w:left w:w="100" w:type="dxa"/>
              <w:right w:w="100" w:type="dxa"/>
            </w:tcMar>
          </w:tcPr>
          <w:p>
            <w:r>
              <w:rPr>
                <w:sz w:val="17"/>
              </w:rPr>
              <w:t>Complete student profiles, academic history, parent info, and quotas</w:t>
            </w:r>
          </w:p>
        </w:tc>
        <w:tc>
          <w:tcPr>
            <w:tcW w:type="dxa" w:w="3120"/>
            <w:shd w:fill="FFFFFF"/>
            <w:tcMar>
              <w:top w:w="80" w:type="dxa"/>
              <w:bottom w:w="80" w:type="dxa"/>
              <w:left w:w="100" w:type="dxa"/>
              <w:right w:w="100" w:type="dxa"/>
            </w:tcMar>
          </w:tcPr>
          <w:p>
            <w:r>
              <w:rPr>
                <w:sz w:val="17"/>
              </w:rPr>
              <w:t>Compound unique: { department_code, year, roll_no }, unique aadhar, unique register_no</w:t>
            </w:r>
          </w:p>
        </w:tc>
      </w:tr>
      <w:tr>
        <w:tc>
          <w:tcPr>
            <w:tcW w:type="dxa" w:w="3120"/>
            <w:shd w:fill="F8FAFC"/>
            <w:tcMar>
              <w:top w:w="80" w:type="dxa"/>
              <w:bottom w:w="80" w:type="dxa"/>
              <w:left w:w="100" w:type="dxa"/>
              <w:right w:w="100" w:type="dxa"/>
            </w:tcMar>
          </w:tcPr>
          <w:p>
            <w:r>
              <w:rPr>
                <w:b/>
                <w:sz w:val="17"/>
              </w:rPr>
              <w:t>Staff</w:t>
            </w:r>
          </w:p>
        </w:tc>
        <w:tc>
          <w:tcPr>
            <w:tcW w:type="dxa" w:w="3120"/>
            <w:shd w:fill="F8FAFC"/>
            <w:tcMar>
              <w:top w:w="80" w:type="dxa"/>
              <w:bottom w:w="80" w:type="dxa"/>
              <w:left w:w="100" w:type="dxa"/>
              <w:right w:w="100" w:type="dxa"/>
            </w:tcMar>
          </w:tcPr>
          <w:p>
            <w:r>
              <w:rPr>
                <w:sz w:val="17"/>
              </w:rPr>
              <w:t>Faculty profiles, department codes, bank details, and qualifications</w:t>
            </w:r>
          </w:p>
        </w:tc>
        <w:tc>
          <w:tcPr>
            <w:tcW w:type="dxa" w:w="3120"/>
            <w:shd w:fill="F8FAFC"/>
            <w:tcMar>
              <w:top w:w="80" w:type="dxa"/>
              <w:bottom w:w="80" w:type="dxa"/>
              <w:left w:w="100" w:type="dxa"/>
              <w:right w:w="100" w:type="dxa"/>
            </w:tcMar>
          </w:tcPr>
          <w:p>
            <w:r>
              <w:rPr>
                <w:sz w:val="17"/>
              </w:rPr>
              <w:t>Unique staff_id, unique staff_code, sparse unique aadhar &amp; PAN</w:t>
            </w:r>
          </w:p>
        </w:tc>
      </w:tr>
      <w:tr>
        <w:tc>
          <w:tcPr>
            <w:tcW w:type="dxa" w:w="3120"/>
            <w:shd w:fill="FFFFFF"/>
            <w:tcMar>
              <w:top w:w="80" w:type="dxa"/>
              <w:bottom w:w="80" w:type="dxa"/>
              <w:left w:w="100" w:type="dxa"/>
              <w:right w:w="100" w:type="dxa"/>
            </w:tcMar>
          </w:tcPr>
          <w:p>
            <w:r>
              <w:rPr>
                <w:b/>
                <w:sz w:val="17"/>
              </w:rPr>
              <w:t>Department</w:t>
            </w:r>
          </w:p>
        </w:tc>
        <w:tc>
          <w:tcPr>
            <w:tcW w:type="dxa" w:w="3120"/>
            <w:shd w:fill="FFFFFF"/>
            <w:tcMar>
              <w:top w:w="80" w:type="dxa"/>
              <w:bottom w:w="80" w:type="dxa"/>
              <w:left w:w="100" w:type="dxa"/>
              <w:right w:w="100" w:type="dxa"/>
            </w:tcMar>
          </w:tcPr>
          <w:p>
            <w:r>
              <w:rPr>
                <w:sz w:val="17"/>
              </w:rPr>
              <w:t>Academic departments and branch configurations</w:t>
            </w:r>
          </w:p>
        </w:tc>
        <w:tc>
          <w:tcPr>
            <w:tcW w:type="dxa" w:w="3120"/>
            <w:shd w:fill="FFFFFF"/>
            <w:tcMar>
              <w:top w:w="80" w:type="dxa"/>
              <w:bottom w:w="80" w:type="dxa"/>
              <w:left w:w="100" w:type="dxa"/>
              <w:right w:w="100" w:type="dxa"/>
            </w:tcMar>
          </w:tcPr>
          <w:p>
            <w:r>
              <w:rPr>
                <w:sz w:val="17"/>
              </w:rPr>
              <w:t>Unique departmentCode</w:t>
            </w:r>
          </w:p>
        </w:tc>
      </w:tr>
      <w:tr>
        <w:tc>
          <w:tcPr>
            <w:tcW w:type="dxa" w:w="3120"/>
            <w:shd w:fill="F8FAFC"/>
            <w:tcMar>
              <w:top w:w="80" w:type="dxa"/>
              <w:bottom w:w="80" w:type="dxa"/>
              <w:left w:w="100" w:type="dxa"/>
              <w:right w:w="100" w:type="dxa"/>
            </w:tcMar>
          </w:tcPr>
          <w:p>
            <w:r>
              <w:rPr>
                <w:b/>
                <w:sz w:val="17"/>
              </w:rPr>
              <w:t>Subject</w:t>
            </w:r>
          </w:p>
        </w:tc>
        <w:tc>
          <w:tcPr>
            <w:tcW w:type="dxa" w:w="3120"/>
            <w:shd w:fill="F8FAFC"/>
            <w:tcMar>
              <w:top w:w="80" w:type="dxa"/>
              <w:bottom w:w="80" w:type="dxa"/>
              <w:left w:w="100" w:type="dxa"/>
              <w:right w:w="100" w:type="dxa"/>
            </w:tcMar>
          </w:tcPr>
          <w:p>
            <w:r>
              <w:rPr>
                <w:sz w:val="17"/>
              </w:rPr>
              <w:t>Curriculum subjects, categories (T, L, T/L, O)</w:t>
            </w:r>
          </w:p>
        </w:tc>
        <w:tc>
          <w:tcPr>
            <w:tcW w:type="dxa" w:w="3120"/>
            <w:shd w:fill="F8FAFC"/>
            <w:tcMar>
              <w:top w:w="80" w:type="dxa"/>
              <w:bottom w:w="80" w:type="dxa"/>
              <w:left w:w="100" w:type="dxa"/>
              <w:right w:w="100" w:type="dxa"/>
            </w:tcMar>
          </w:tcPr>
          <w:p>
            <w:r>
              <w:rPr>
                <w:sz w:val="17"/>
              </w:rPr>
              <w:t>Unique subjectCode</w:t>
            </w:r>
          </w:p>
        </w:tc>
      </w:tr>
      <w:tr>
        <w:tc>
          <w:tcPr>
            <w:tcW w:type="dxa" w:w="3120"/>
            <w:shd w:fill="FFFFFF"/>
            <w:tcMar>
              <w:top w:w="80" w:type="dxa"/>
              <w:bottom w:w="80" w:type="dxa"/>
              <w:left w:w="100" w:type="dxa"/>
              <w:right w:w="100" w:type="dxa"/>
            </w:tcMar>
          </w:tcPr>
          <w:p>
            <w:r>
              <w:rPr>
                <w:b/>
                <w:sz w:val="17"/>
              </w:rPr>
              <w:t>Timetable</w:t>
            </w:r>
          </w:p>
        </w:tc>
        <w:tc>
          <w:tcPr>
            <w:tcW w:type="dxa" w:w="3120"/>
            <w:shd w:fill="FFFFFF"/>
            <w:tcMar>
              <w:top w:w="80" w:type="dxa"/>
              <w:bottom w:w="80" w:type="dxa"/>
              <w:left w:w="100" w:type="dxa"/>
              <w:right w:w="100" w:type="dxa"/>
            </w:tcMar>
          </w:tcPr>
          <w:p>
            <w:r>
              <w:rPr>
                <w:sz w:val="17"/>
              </w:rPr>
              <w:t>Master weekly class schedule matrix (7 days x 7 periods)</w:t>
            </w:r>
          </w:p>
        </w:tc>
        <w:tc>
          <w:tcPr>
            <w:tcW w:type="dxa" w:w="3120"/>
            <w:shd w:fill="FFFFFF"/>
            <w:tcMar>
              <w:top w:w="80" w:type="dxa"/>
              <w:bottom w:w="80" w:type="dxa"/>
              <w:left w:w="100" w:type="dxa"/>
              <w:right w:w="100" w:type="dxa"/>
            </w:tcMar>
          </w:tcPr>
          <w:p>
            <w:r>
              <w:rPr>
                <w:sz w:val="17"/>
              </w:rPr>
              <w:t>Indexes: { academicYear, department, year, semester, day, period }, staff lookup</w:t>
            </w:r>
          </w:p>
        </w:tc>
      </w:tr>
      <w:tr>
        <w:tc>
          <w:tcPr>
            <w:tcW w:type="dxa" w:w="3120"/>
            <w:shd w:fill="F8FAFC"/>
            <w:tcMar>
              <w:top w:w="80" w:type="dxa"/>
              <w:bottom w:w="80" w:type="dxa"/>
              <w:left w:w="100" w:type="dxa"/>
              <w:right w:w="100" w:type="dxa"/>
            </w:tcMar>
          </w:tcPr>
          <w:p>
            <w:r>
              <w:rPr>
                <w:b/>
                <w:sz w:val="17"/>
              </w:rPr>
              <w:t>Attendance</w:t>
            </w:r>
          </w:p>
        </w:tc>
        <w:tc>
          <w:tcPr>
            <w:tcW w:type="dxa" w:w="3120"/>
            <w:shd w:fill="F8FAFC"/>
            <w:tcMar>
              <w:top w:w="80" w:type="dxa"/>
              <w:bottom w:w="80" w:type="dxa"/>
              <w:left w:w="100" w:type="dxa"/>
              <w:right w:w="100" w:type="dxa"/>
            </w:tcMar>
          </w:tcPr>
          <w:p>
            <w:r>
              <w:rPr>
                <w:sz w:val="17"/>
              </w:rPr>
              <w:t>Period-by-period digital student attendance logs</w:t>
            </w:r>
          </w:p>
        </w:tc>
        <w:tc>
          <w:tcPr>
            <w:tcW w:type="dxa" w:w="3120"/>
            <w:shd w:fill="F8FAFC"/>
            <w:tcMar>
              <w:top w:w="80" w:type="dxa"/>
              <w:bottom w:w="80" w:type="dxa"/>
              <w:left w:w="100" w:type="dxa"/>
              <w:right w:w="100" w:type="dxa"/>
            </w:tcMar>
          </w:tcPr>
          <w:p>
            <w:r>
              <w:rPr>
                <w:sz w:val="17"/>
              </w:rPr>
              <w:t>Compound unique: { date, department, year, semester, period }</w:t>
            </w:r>
          </w:p>
        </w:tc>
      </w:tr>
      <w:tr>
        <w:tc>
          <w:tcPr>
            <w:tcW w:type="dxa" w:w="3120"/>
            <w:shd w:fill="FFFFFF"/>
            <w:tcMar>
              <w:top w:w="80" w:type="dxa"/>
              <w:bottom w:w="80" w:type="dxa"/>
              <w:left w:w="100" w:type="dxa"/>
              <w:right w:w="100" w:type="dxa"/>
            </w:tcMar>
          </w:tcPr>
          <w:p>
            <w:r>
              <w:rPr>
                <w:b/>
                <w:sz w:val="17"/>
              </w:rPr>
              <w:t>InternalMark</w:t>
            </w:r>
          </w:p>
        </w:tc>
        <w:tc>
          <w:tcPr>
            <w:tcW w:type="dxa" w:w="3120"/>
            <w:shd w:fill="FFFFFF"/>
            <w:tcMar>
              <w:top w:w="80" w:type="dxa"/>
              <w:bottom w:w="80" w:type="dxa"/>
              <w:left w:w="100" w:type="dxa"/>
              <w:right w:w="100" w:type="dxa"/>
            </w:tcMar>
          </w:tcPr>
          <w:p>
            <w:r>
              <w:rPr>
                <w:sz w:val="17"/>
              </w:rPr>
              <w:t>Theory and practical assessment marks per exam</w:t>
            </w:r>
          </w:p>
        </w:tc>
        <w:tc>
          <w:tcPr>
            <w:tcW w:type="dxa" w:w="3120"/>
            <w:shd w:fill="FFFFFF"/>
            <w:tcMar>
              <w:top w:w="80" w:type="dxa"/>
              <w:bottom w:w="80" w:type="dxa"/>
              <w:left w:w="100" w:type="dxa"/>
              <w:right w:w="100" w:type="dxa"/>
            </w:tcMar>
          </w:tcPr>
          <w:p>
            <w:r>
              <w:rPr>
                <w:sz w:val="17"/>
              </w:rPr>
              <w:t>Compound unique: { academicYear, department, year, semester, subject, student, internalExam }</w:t>
            </w:r>
          </w:p>
        </w:tc>
      </w:tr>
      <w:tr>
        <w:tc>
          <w:tcPr>
            <w:tcW w:type="dxa" w:w="3120"/>
            <w:shd w:fill="F8FAFC"/>
            <w:tcMar>
              <w:top w:w="80" w:type="dxa"/>
              <w:bottom w:w="80" w:type="dxa"/>
              <w:left w:w="100" w:type="dxa"/>
              <w:right w:w="100" w:type="dxa"/>
            </w:tcMar>
          </w:tcPr>
          <w:p>
            <w:r>
              <w:rPr>
                <w:b/>
                <w:sz w:val="17"/>
              </w:rPr>
              <w:t>Feedback</w:t>
            </w:r>
          </w:p>
        </w:tc>
        <w:tc>
          <w:tcPr>
            <w:tcW w:type="dxa" w:w="3120"/>
            <w:shd w:fill="F8FAFC"/>
            <w:tcMar>
              <w:top w:w="80" w:type="dxa"/>
              <w:bottom w:w="80" w:type="dxa"/>
              <w:left w:w="100" w:type="dxa"/>
              <w:right w:w="100" w:type="dxa"/>
            </w:tcMar>
          </w:tcPr>
          <w:p>
            <w:r>
              <w:rPr>
                <w:sz w:val="17"/>
              </w:rPr>
              <w:t>Anonymous 14-criteria student faculty evaluations</w:t>
            </w:r>
          </w:p>
        </w:tc>
        <w:tc>
          <w:tcPr>
            <w:tcW w:type="dxa" w:w="3120"/>
            <w:shd w:fill="F8FAFC"/>
            <w:tcMar>
              <w:top w:w="80" w:type="dxa"/>
              <w:bottom w:w="80" w:type="dxa"/>
              <w:left w:w="100" w:type="dxa"/>
              <w:right w:w="100" w:type="dxa"/>
            </w:tcMar>
          </w:tcPr>
          <w:p>
            <w:r>
              <w:rPr>
                <w:sz w:val="17"/>
              </w:rPr>
              <w:t>Compound unique: { studentRegno, subjectCode, facultyName, semester }</w:t>
            </w:r>
          </w:p>
        </w:tc>
      </w:tr>
      <w:tr>
        <w:tc>
          <w:tcPr>
            <w:tcW w:type="dxa" w:w="3120"/>
            <w:shd w:fill="FFFFFF"/>
            <w:tcMar>
              <w:top w:w="80" w:type="dxa"/>
              <w:bottom w:w="80" w:type="dxa"/>
              <w:left w:w="100" w:type="dxa"/>
              <w:right w:w="100" w:type="dxa"/>
            </w:tcMar>
          </w:tcPr>
          <w:p>
            <w:r>
              <w:rPr>
                <w:b/>
                <w:sz w:val="17"/>
              </w:rPr>
              <w:t>ExamTimetable</w:t>
            </w:r>
          </w:p>
        </w:tc>
        <w:tc>
          <w:tcPr>
            <w:tcW w:type="dxa" w:w="3120"/>
            <w:shd w:fill="FFFFFF"/>
            <w:tcMar>
              <w:top w:w="80" w:type="dxa"/>
              <w:bottom w:w="80" w:type="dxa"/>
              <w:left w:w="100" w:type="dxa"/>
              <w:right w:w="100" w:type="dxa"/>
            </w:tcMar>
          </w:tcPr>
          <w:p>
            <w:r>
              <w:rPr>
                <w:sz w:val="17"/>
              </w:rPr>
              <w:t>Internal and semester exam timetables</w:t>
            </w:r>
          </w:p>
        </w:tc>
        <w:tc>
          <w:tcPr>
            <w:tcW w:type="dxa" w:w="3120"/>
            <w:shd w:fill="FFFFFF"/>
            <w:tcMar>
              <w:top w:w="80" w:type="dxa"/>
              <w:bottom w:w="80" w:type="dxa"/>
              <w:left w:w="100" w:type="dxa"/>
              <w:right w:w="100" w:type="dxa"/>
            </w:tcMar>
          </w:tcPr>
          <w:p>
            <w:r>
              <w:rPr>
                <w:sz w:val="17"/>
              </w:rPr>
              <w:t>Compound unique: { examName, academicYear, semesterType }</w:t>
            </w:r>
          </w:p>
        </w:tc>
      </w:tr>
      <w:tr>
        <w:tc>
          <w:tcPr>
            <w:tcW w:type="dxa" w:w="3120"/>
            <w:shd w:fill="F8FAFC"/>
            <w:tcMar>
              <w:top w:w="80" w:type="dxa"/>
              <w:bottom w:w="80" w:type="dxa"/>
              <w:left w:w="100" w:type="dxa"/>
              <w:right w:w="100" w:type="dxa"/>
            </w:tcMar>
          </w:tcPr>
          <w:p>
            <w:r>
              <w:rPr>
                <w:b/>
                <w:sz w:val="17"/>
              </w:rPr>
              <w:t>Hall</w:t>
            </w:r>
          </w:p>
        </w:tc>
        <w:tc>
          <w:tcPr>
            <w:tcW w:type="dxa" w:w="3120"/>
            <w:shd w:fill="F8FAFC"/>
            <w:tcMar>
              <w:top w:w="80" w:type="dxa"/>
              <w:bottom w:w="80" w:type="dxa"/>
              <w:left w:w="100" w:type="dxa"/>
              <w:right w:w="100" w:type="dxa"/>
            </w:tcMar>
          </w:tcPr>
          <w:p>
            <w:r>
              <w:rPr>
                <w:sz w:val="17"/>
              </w:rPr>
              <w:t>Physical examination halls and seat capacities</w:t>
            </w:r>
          </w:p>
        </w:tc>
        <w:tc>
          <w:tcPr>
            <w:tcW w:type="dxa" w:w="3120"/>
            <w:shd w:fill="F8FAFC"/>
            <w:tcMar>
              <w:top w:w="80" w:type="dxa"/>
              <w:bottom w:w="80" w:type="dxa"/>
              <w:left w:w="100" w:type="dxa"/>
              <w:right w:w="100" w:type="dxa"/>
            </w:tcMar>
          </w:tcPr>
          <w:p>
            <w:r>
              <w:rPr>
                <w:sz w:val="17"/>
              </w:rPr>
              <w:t>Unique hallName, unique hallCode</w:t>
            </w:r>
          </w:p>
        </w:tc>
      </w:tr>
      <w:tr>
        <w:tc>
          <w:tcPr>
            <w:tcW w:type="dxa" w:w="3120"/>
            <w:shd w:fill="FFFFFF"/>
            <w:tcMar>
              <w:top w:w="80" w:type="dxa"/>
              <w:bottom w:w="80" w:type="dxa"/>
              <w:left w:w="100" w:type="dxa"/>
              <w:right w:w="100" w:type="dxa"/>
            </w:tcMar>
          </w:tcPr>
          <w:p>
            <w:r>
              <w:rPr>
                <w:b/>
                <w:sz w:val="17"/>
              </w:rPr>
              <w:t>AdmissionApplication</w:t>
            </w:r>
          </w:p>
        </w:tc>
        <w:tc>
          <w:tcPr>
            <w:tcW w:type="dxa" w:w="3120"/>
            <w:shd w:fill="FFFFFF"/>
            <w:tcMar>
              <w:top w:w="80" w:type="dxa"/>
              <w:bottom w:w="80" w:type="dxa"/>
              <w:left w:w="100" w:type="dxa"/>
              <w:right w:w="100" w:type="dxa"/>
            </w:tcMar>
          </w:tcPr>
          <w:p>
            <w:r>
              <w:rPr>
                <w:sz w:val="17"/>
              </w:rPr>
              <w:t>Online candidate admission forms and workflow</w:t>
            </w:r>
          </w:p>
        </w:tc>
        <w:tc>
          <w:tcPr>
            <w:tcW w:type="dxa" w:w="3120"/>
            <w:shd w:fill="FFFFFF"/>
            <w:tcMar>
              <w:top w:w="80" w:type="dxa"/>
              <w:bottom w:w="80" w:type="dxa"/>
              <w:left w:w="100" w:type="dxa"/>
              <w:right w:w="100" w:type="dxa"/>
            </w:tcMar>
          </w:tcPr>
          <w:p>
            <w:r>
              <w:rPr>
                <w:sz w:val="17"/>
              </w:rPr>
              <w:t>Compound unique: { hallTicketNo, academicYear }, status indexing</w:t>
            </w:r>
          </w:p>
        </w:tc>
      </w:tr>
      <w:tr>
        <w:tc>
          <w:tcPr>
            <w:tcW w:type="dxa" w:w="3120"/>
            <w:shd w:fill="F8FAFC"/>
            <w:tcMar>
              <w:top w:w="80" w:type="dxa"/>
              <w:bottom w:w="80" w:type="dxa"/>
              <w:left w:w="100" w:type="dxa"/>
              <w:right w:w="100" w:type="dxa"/>
            </w:tcMar>
          </w:tcPr>
          <w:p>
            <w:r>
              <w:rPr>
                <w:b/>
                <w:sz w:val="17"/>
              </w:rPr>
              <w:t>AdmissionOtp</w:t>
            </w:r>
          </w:p>
        </w:tc>
        <w:tc>
          <w:tcPr>
            <w:tcW w:type="dxa" w:w="3120"/>
            <w:shd w:fill="F8FAFC"/>
            <w:tcMar>
              <w:top w:w="80" w:type="dxa"/>
              <w:bottom w:w="80" w:type="dxa"/>
              <w:left w:w="100" w:type="dxa"/>
              <w:right w:w="100" w:type="dxa"/>
            </w:tcMar>
          </w:tcPr>
          <w:p>
            <w:r>
              <w:rPr>
                <w:sz w:val="17"/>
              </w:rPr>
              <w:t>Temporary candidate email verification tokens</w:t>
            </w:r>
          </w:p>
        </w:tc>
        <w:tc>
          <w:tcPr>
            <w:tcW w:type="dxa" w:w="3120"/>
            <w:shd w:fill="F8FAFC"/>
            <w:tcMar>
              <w:top w:w="80" w:type="dxa"/>
              <w:bottom w:w="80" w:type="dxa"/>
              <w:left w:w="100" w:type="dxa"/>
              <w:right w:w="100" w:type="dxa"/>
            </w:tcMar>
          </w:tcPr>
          <w:p>
            <w:r>
              <w:rPr>
                <w:sz w:val="17"/>
              </w:rPr>
              <w:t>Auto-expiry index on expiresAt (5 minutes validity)</w:t>
            </w:r>
          </w:p>
        </w:tc>
      </w:tr>
      <w:tr>
        <w:tc>
          <w:tcPr>
            <w:tcW w:type="dxa" w:w="3120"/>
            <w:shd w:fill="FFFFFF"/>
            <w:tcMar>
              <w:top w:w="80" w:type="dxa"/>
              <w:bottom w:w="80" w:type="dxa"/>
              <w:left w:w="100" w:type="dxa"/>
              <w:right w:w="100" w:type="dxa"/>
            </w:tcMar>
          </w:tcPr>
          <w:p>
            <w:r>
              <w:rPr>
                <w:b/>
                <w:sz w:val="17"/>
              </w:rPr>
              <w:t>PushSubscription</w:t>
            </w:r>
          </w:p>
        </w:tc>
        <w:tc>
          <w:tcPr>
            <w:tcW w:type="dxa" w:w="3120"/>
            <w:shd w:fill="FFFFFF"/>
            <w:tcMar>
              <w:top w:w="80" w:type="dxa"/>
              <w:bottom w:w="80" w:type="dxa"/>
              <w:left w:w="100" w:type="dxa"/>
              <w:right w:w="100" w:type="dxa"/>
            </w:tcMar>
          </w:tcPr>
          <w:p>
            <w:r>
              <w:rPr>
                <w:sz w:val="17"/>
              </w:rPr>
              <w:t>Web push client subscription keys (P256DH &amp; Auth)</w:t>
            </w:r>
          </w:p>
        </w:tc>
        <w:tc>
          <w:tcPr>
            <w:tcW w:type="dxa" w:w="3120"/>
            <w:shd w:fill="FFFFFF"/>
            <w:tcMar>
              <w:top w:w="80" w:type="dxa"/>
              <w:bottom w:w="80" w:type="dxa"/>
              <w:left w:w="100" w:type="dxa"/>
              <w:right w:w="100" w:type="dxa"/>
            </w:tcMar>
          </w:tcPr>
          <w:p>
            <w:r>
              <w:rPr>
                <w:sz w:val="17"/>
              </w:rPr>
              <w:t>Unique endpoint, compound index on { role, department }</w:t>
            </w:r>
          </w:p>
        </w:tc>
      </w:tr>
      <w:tr>
        <w:tc>
          <w:tcPr>
            <w:tcW w:type="dxa" w:w="3120"/>
            <w:shd w:fill="F8FAFC"/>
            <w:tcMar>
              <w:top w:w="80" w:type="dxa"/>
              <w:bottom w:w="80" w:type="dxa"/>
              <w:left w:w="100" w:type="dxa"/>
              <w:right w:w="100" w:type="dxa"/>
            </w:tcMar>
          </w:tcPr>
          <w:p>
            <w:r>
              <w:rPr>
                <w:b/>
                <w:sz w:val="17"/>
              </w:rPr>
              <w:t>Notification</w:t>
            </w:r>
          </w:p>
        </w:tc>
        <w:tc>
          <w:tcPr>
            <w:tcW w:type="dxa" w:w="3120"/>
            <w:shd w:fill="F8FAFC"/>
            <w:tcMar>
              <w:top w:w="80" w:type="dxa"/>
              <w:bottom w:w="80" w:type="dxa"/>
              <w:left w:w="100" w:type="dxa"/>
              <w:right w:w="100" w:type="dxa"/>
            </w:tcMar>
          </w:tcPr>
          <w:p>
            <w:r>
              <w:rPr>
                <w:sz w:val="17"/>
              </w:rPr>
              <w:t>In-app broadcast and direct user notification records</w:t>
            </w:r>
          </w:p>
        </w:tc>
        <w:tc>
          <w:tcPr>
            <w:tcW w:type="dxa" w:w="3120"/>
            <w:shd w:fill="F8FAFC"/>
            <w:tcMar>
              <w:top w:w="80" w:type="dxa"/>
              <w:bottom w:w="80" w:type="dxa"/>
              <w:left w:w="100" w:type="dxa"/>
              <w:right w:w="100" w:type="dxa"/>
            </w:tcMar>
          </w:tcPr>
          <w:p>
            <w:r>
              <w:rPr>
                <w:sz w:val="17"/>
              </w:rPr>
              <w:t>Indexes on { department, role, createdAt }</w:t>
            </w:r>
          </w:p>
        </w:tc>
      </w:tr>
      <w:tr>
        <w:tc>
          <w:tcPr>
            <w:tcW w:type="dxa" w:w="3120"/>
            <w:shd w:fill="FFFFFF"/>
            <w:tcMar>
              <w:top w:w="80" w:type="dxa"/>
              <w:bottom w:w="80" w:type="dxa"/>
              <w:left w:w="100" w:type="dxa"/>
              <w:right w:w="100" w:type="dxa"/>
            </w:tcMar>
          </w:tcPr>
          <w:p>
            <w:r>
              <w:rPr>
                <w:b/>
                <w:sz w:val="17"/>
              </w:rPr>
              <w:t>RefreshSession</w:t>
            </w:r>
          </w:p>
        </w:tc>
        <w:tc>
          <w:tcPr>
            <w:tcW w:type="dxa" w:w="3120"/>
            <w:shd w:fill="FFFFFF"/>
            <w:tcMar>
              <w:top w:w="80" w:type="dxa"/>
              <w:bottom w:w="80" w:type="dxa"/>
              <w:left w:w="100" w:type="dxa"/>
              <w:right w:w="100" w:type="dxa"/>
            </w:tcMar>
          </w:tcPr>
          <w:p>
            <w:r>
              <w:rPr>
                <w:sz w:val="17"/>
              </w:rPr>
              <w:t>Hashed session tokens for persistent sliding authentication</w:t>
            </w:r>
          </w:p>
        </w:tc>
        <w:tc>
          <w:tcPr>
            <w:tcW w:type="dxa" w:w="3120"/>
            <w:shd w:fill="FFFFFF"/>
            <w:tcMar>
              <w:top w:w="80" w:type="dxa"/>
              <w:bottom w:w="80" w:type="dxa"/>
              <w:left w:w="100" w:type="dxa"/>
              <w:right w:w="100" w:type="dxa"/>
            </w:tcMar>
          </w:tcPr>
          <w:p>
            <w:r>
              <w:rPr>
                <w:sz w:val="17"/>
              </w:rPr>
              <w:t>Unique tokenHash, index on expiresAt</w:t>
            </w:r>
          </w:p>
        </w:tc>
      </w:tr>
    </w:tbl>
    <w:p>
      <w:pPr>
        <w:spacing w:after="160"/>
      </w:pPr>
    </w:p>
    <w:p>
      <w:pPr>
        <w:keepNext/>
        <w:spacing w:before="320" w:after="120"/>
      </w:pPr>
      <w:r>
        <w:rPr>
          <w:b/>
          <w:color w:val="1E3A8A"/>
          <w:sz w:val="30"/>
        </w:rPr>
        <w:t>7. System Maturity Assessment &amp; Strategic Roadmap</w:t>
      </w:r>
    </w:p>
    <w:p>
      <w:r>
        <w:t>Based on extensive codebase analysis, NICETech ERP is categorized as a High-Maturity, Production-Ready Academic Management Platform. The system demonstrates robust exception handling, strict authorization enforcement, and clean separation of concerns.</w:t>
      </w:r>
    </w:p>
    <w:p>
      <w:pPr>
        <w:keepNext/>
        <w:spacing w:before="240" w:after="80"/>
      </w:pPr>
      <w:r>
        <w:rPr>
          <w:b/>
          <w:color w:val="2563EB"/>
          <w:sz w:val="24"/>
        </w:rPr>
        <w:t>7.1 Implementation Status Summary</w:t>
      </w:r>
    </w:p>
    <w:p>
      <w:r>
        <w:t>✔ Authentication &amp; Google SSO: IMPLEMENTED (100%)</w:t>
      </w:r>
    </w:p>
    <w:p>
      <w:r>
        <w:t>✔ Student Records &amp; Admissions Workflow: IMPLEMENTED (100%)</w:t>
      </w:r>
    </w:p>
    <w:p>
      <w:r>
        <w:t>✔ Faculty &amp; Department Management: IMPLEMENTED (100%)</w:t>
      </w:r>
    </w:p>
    <w:p>
      <w:r>
        <w:t>✔ Timetable &amp; Scheduling Engine: IMPLEMENTED (100%)</w:t>
      </w:r>
    </w:p>
    <w:p>
      <w:r>
        <w:t>✔ Period Attendance &amp; Impact Simulator: IMPLEMENTED (100%)</w:t>
      </w:r>
    </w:p>
    <w:p>
      <w:r>
        <w:t>✔ Internal Assessment Marks: IMPLEMENTED (100%)</w:t>
      </w:r>
    </w:p>
    <w:p>
      <w:r>
        <w:t>✔ Anonymous Multi-Criteria Feedback: IMPLEMENTED (100%)</w:t>
      </w:r>
    </w:p>
    <w:p>
      <w:r>
        <w:t>✔ Automated Exam Hall Seating: IMPLEMENTED (100%)</w:t>
      </w:r>
    </w:p>
    <w:p>
      <w:r>
        <w:t>✔ Real-Time PWA Web Push Notifications: IMPLEMENTED (100%)</w:t>
      </w:r>
    </w:p>
    <w:p>
      <w:r>
        <w:t>⏳ Fee Billing &amp; Tuition Accounting (Accountant Role): PARTIALLY IMPLEMENTED (Schema in place; full ledger module planned)</w:t>
      </w:r>
    </w:p>
    <w:p>
      <w:pPr>
        <w:keepNext/>
        <w:spacing w:before="240" w:after="80"/>
      </w:pPr>
      <w:r>
        <w:rPr>
          <w:b/>
          <w:color w:val="2563EB"/>
          <w:sz w:val="24"/>
        </w:rPr>
        <w:t>7.2 Strategic Recommendations for Future Scaling</w:t>
      </w:r>
    </w:p>
    <w:p>
      <w:r>
        <w:t>1. Automated Database Backups: Implement automated daily MongoDB Atlas backup snapshots with offsite cold storage replication.</w:t>
      </w:r>
    </w:p>
    <w:p>
      <w:r>
        <w:t>2. SMS &amp; WhatsApp Gateway Integration: Complement email and web push notifications with an integrated SMS/WhatsApp gateway for critical attendance alerts to parents.</w:t>
      </w:r>
    </w:p>
    <w:p>
      <w:r>
        <w:t>3. Redis In-Memory Caching: Integrate Redis caching for the Public News Ticker and Master Timetable to optimize database query performance during peak registration traffic.</w:t>
      </w:r>
    </w:p>
    <w:p>
      <w:r>
        <w:t>4. Accountant Fee Management Module: Expand the Accountant role into a full fee invoicing, receipt generation, and payment gateway integration module.</w:t>
      </w:r>
    </w:p>
    <w:p>
      <w:pPr>
        <w:spacing w:after="320"/>
      </w:pP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08"/>
          </w:tcPr>
          <w:p>
            <w:r>
              <w:rPr>
                <w:sz w:val="18"/>
              </w:rPr>
              <w:t>Prepared &amp; Certified by:</w:t>
              <w:br/>
            </w:r>
            <w:r>
              <w:rPr>
                <w:b/>
                <w:sz w:val="19"/>
              </w:rPr>
              <w:t>Senior Software Architecture &amp; Security Audit Team</w:t>
              <w:br/>
              <w:t>NICETech Technical Advisory Group</w:t>
            </w:r>
          </w:p>
        </w:tc>
        <w:tc>
          <w:tcPr>
            <w:tcW w:type="dxa" w:w="4608"/>
          </w:tcPr>
          <w:p>
            <w:r>
              <w:rPr>
                <w:sz w:val="18"/>
              </w:rPr>
              <w:t>Approved for Institutional Deployment by:</w:t>
              <w:br/>
            </w:r>
            <w:r>
              <w:rPr>
                <w:b/>
                <w:sz w:val="19"/>
              </w:rPr>
              <w:t>Office of the Principal &amp; Academic Council</w:t>
              <w:br/>
              <w:t>Noorul Islam College of Engineering and Technology</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Noorul Islam College of Engineering and Technology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NICETech ERP — Institutional Management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