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06"/>
      </w:pPr>
      <w:r>
        <w:rPr>
          <w:rFonts w:ascii="Times New Roman" w:hAnsi="Times New Roman" w:cs="Times New Roman"/>
          <w:sz w:val="40"/>
          <w:sz-cs w:val="40"/>
          <w:b/>
          <w:spacing w:val="0"/>
        </w:rPr>
        <w:t xml:space="preserve">CONTRATO DE COMERCIALIZACIÓN DE PRODUCTOS Y SERVICIOS A TRAVÉS DE PARTNERS</w:t>
      </w:r>
    </w:p>
    <w:p>
      <w:pPr>
        <w:jc w:val="center"/>
        <w:spacing w:after="213"/>
      </w:pPr>
      <w:r>
        <w:rPr>
          <w:rFonts w:ascii="Times New Roman" w:hAnsi="Times New Roman" w:cs="Times New Roman"/>
          <w:sz w:val="25"/>
          <w:sz-cs w:val="25"/>
          <w:spacing w:val="0"/>
          <w:color w:val="262626"/>
        </w:rPr>
        <w:t xml:space="preserve">Solution Partner — Integrado Tecnológicamente · República de Panamá</w:t>
      </w:r>
    </w:p>
    <w:p>
      <w:pPr/>
      <w:r>
        <w:rPr>
          <w:rFonts w:ascii="Times New Roman" w:hAnsi="Times New Roman" w:cs="Times New Roman"/>
          <w:sz w:val="28"/>
          <w:sz-cs w:val="28"/>
          <w:b/>
          <w:spacing w:val="0"/>
        </w:rPr>
        <w:t xml:space="preserve">KUSHKI</w:t>
      </w:r>
    </w:p>
    <w:p>
      <w:pPr/>
      <w:r>
        <w:rPr>
          <w:rFonts w:ascii="Times New Roman" w:hAnsi="Times New Roman" w:cs="Times New Roman"/>
          <w:sz w:val="28"/>
          <w:sz-cs w:val="28"/>
          <w:b/>
          <w:spacing w:val="0"/>
        </w:rPr>
        <w:t xml:space="preserve">PARTNER</w:t>
      </w:r>
    </w:p>
    <w:p>
      <w:pPr/>
      <w:r>
        <w:rPr>
          <w:rFonts w:ascii="Times New Roman" w:hAnsi="Times New Roman" w:cs="Times New Roman"/>
          <w:sz w:val="28"/>
          <w:sz-cs w:val="28"/>
          <w:b/>
          <w:spacing w:val="0"/>
        </w:rPr>
        <w:t xml:space="preserve">Nombre / Razón social:</w:t>
      </w:r>
      <w:r>
        <w:rPr>
          <w:rFonts w:ascii="Times New Roman" w:hAnsi="Times New Roman" w:cs="Times New Roman"/>
          <w:sz w:val="28"/>
          <w:sz-cs w:val="28"/>
          <w:spacing w:val="0"/>
        </w:rPr>
        <w:t xml:space="preserve">  </w:t>
      </w:r>
    </w:p>
    <w:p>
      <w:pPr/>
      <w:r>
        <w:rPr>
          <w:rFonts w:ascii="Times New Roman" w:hAnsi="Times New Roman" w:cs="Times New Roman"/>
          <w:sz w:val="28"/>
          <w:sz-cs w:val="28"/>
          <w:b/>
          <w:spacing w:val="0"/>
        </w:rPr>
        <w:t xml:space="preserve">RUC / Identificación fiscal:</w:t>
      </w:r>
      <w:r>
        <w:rPr>
          <w:rFonts w:ascii="Times New Roman" w:hAnsi="Times New Roman" w:cs="Times New Roman"/>
          <w:sz w:val="28"/>
          <w:sz-cs w:val="28"/>
          <w:spacing w:val="0"/>
        </w:rPr>
        <w:t xml:space="preserve">  </w:t>
      </w:r>
    </w:p>
    <w:p>
      <w:pPr/>
      <w:r>
        <w:rPr>
          <w:rFonts w:ascii="Times New Roman" w:hAnsi="Times New Roman" w:cs="Times New Roman"/>
          <w:sz w:val="28"/>
          <w:sz-cs w:val="28"/>
          <w:b/>
          <w:spacing w:val="0"/>
        </w:rPr>
        <w:t xml:space="preserve">Apoderado / Representante legal:</w:t>
      </w:r>
      <w:r>
        <w:rPr>
          <w:rFonts w:ascii="Times New Roman" w:hAnsi="Times New Roman" w:cs="Times New Roman"/>
          <w:sz w:val="28"/>
          <w:sz-cs w:val="28"/>
          <w:spacing w:val="0"/>
        </w:rPr>
        <w:t xml:space="preserve">  </w:t>
      </w:r>
    </w:p>
    <w:p>
      <w:pPr/>
      <w:r>
        <w:rPr>
          <w:rFonts w:ascii="Times New Roman" w:hAnsi="Times New Roman" w:cs="Times New Roman"/>
          <w:sz w:val="28"/>
          <w:sz-cs w:val="28"/>
          <w:b/>
          <w:spacing w:val="0"/>
        </w:rPr>
        <w:t xml:space="preserve">Documento de identidad:</w:t>
      </w:r>
      <w:r>
        <w:rPr>
          <w:rFonts w:ascii="Times New Roman" w:hAnsi="Times New Roman" w:cs="Times New Roman"/>
          <w:sz w:val="28"/>
          <w:sz-cs w:val="28"/>
          <w:spacing w:val="0"/>
        </w:rPr>
        <w:t xml:space="preserve">  </w:t>
      </w:r>
    </w:p>
    <w:p>
      <w:pPr/>
      <w:r>
        <w:rPr>
          <w:rFonts w:ascii="Times New Roman" w:hAnsi="Times New Roman" w:cs="Times New Roman"/>
          <w:sz w:val="28"/>
          <w:sz-cs w:val="28"/>
          <w:b/>
          <w:spacing w:val="0"/>
        </w:rPr>
        <w:t xml:space="preserve">Correo:</w:t>
      </w:r>
      <w:r>
        <w:rPr>
          <w:rFonts w:ascii="Times New Roman" w:hAnsi="Times New Roman" w:cs="Times New Roman"/>
          <w:sz w:val="28"/>
          <w:sz-cs w:val="28"/>
          <w:spacing w:val="0"/>
        </w:rPr>
        <w:t xml:space="preserve"> legal@kushkipagos.com</w:t>
      </w:r>
    </w:p>
    <w:p>
      <w:pPr/>
      <w:r>
        <w:rPr>
          <w:rFonts w:ascii="Times New Roman" w:hAnsi="Times New Roman" w:cs="Times New Roman"/>
          <w:sz w:val="28"/>
          <w:sz-cs w:val="28"/>
          <w:b/>
          <w:spacing w:val="0"/>
        </w:rPr>
        <w:t xml:space="preserve">Domicilio:</w:t>
      </w:r>
      <w:r>
        <w:rPr>
          <w:rFonts w:ascii="Times New Roman" w:hAnsi="Times New Roman" w:cs="Times New Roman"/>
          <w:sz w:val="28"/>
          <w:sz-cs w:val="28"/>
          <w:spacing w:val="0"/>
        </w:rPr>
        <w:t xml:space="preserve">  </w:t>
      </w:r>
      <w:r>
        <w:rPr>
          <w:rFonts w:ascii="Times New Roman" w:hAnsi="Times New Roman" w:cs="Times New Roman"/>
          <w:sz w:val="25"/>
          <w:sz-cs w:val="25"/>
          <w:spacing w:val="0"/>
          <w:color w:val="262626"/>
        </w:rPr>
        <w:t xml:space="preserve"/>
      </w:r>
    </w:p>
    <w:p>
      <w:pPr>
        <w:spacing w:after="213"/>
      </w:pPr>
      <w:r>
        <w:rPr>
          <w:rFonts w:ascii="Times New Roman" w:hAnsi="Times New Roman" w:cs="Times New Roman"/>
          <w:sz w:val="25"/>
          <w:sz-cs w:val="25"/>
          <w:spacing w:val="0"/>
          <w:color w:val="262626"/>
        </w:rPr>
        <w:t xml:space="preserve">(A completar con los datos de la afiliada de KUSHKI constituida en la República de Panamá, o de la afiliada que corresponda según el país de prestación de los Productos y Servicios.)</w:t>
      </w:r>
    </w:p>
    <w:p>
      <w:pPr/>
      <w:r>
        <w:rPr>
          <w:rFonts w:ascii="Times New Roman" w:hAnsi="Times New Roman" w:cs="Times New Roman"/>
          <w:sz w:val="28"/>
          <w:sz-cs w:val="28"/>
          <w:b/>
          <w:spacing w:val="0"/>
        </w:rPr>
        <w:t xml:space="preserve">Razón social:</w:t>
      </w:r>
      <w:r>
        <w:rPr>
          <w:rFonts w:ascii="Times New Roman" w:hAnsi="Times New Roman" w:cs="Times New Roman"/>
          <w:sz w:val="28"/>
          <w:sz-cs w:val="28"/>
          <w:spacing w:val="0"/>
        </w:rPr>
        <w:t xml:space="preserve"> ALLEEN, S.A.</w:t>
      </w:r>
    </w:p>
    <w:p>
      <w:pPr/>
      <w:r>
        <w:rPr>
          <w:rFonts w:ascii="Times New Roman" w:hAnsi="Times New Roman" w:cs="Times New Roman"/>
          <w:sz w:val="28"/>
          <w:sz-cs w:val="28"/>
          <w:b/>
          <w:spacing w:val="0"/>
        </w:rPr>
        <w:t xml:space="preserve">RUC:</w:t>
      </w:r>
      <w:r>
        <w:rPr>
          <w:rFonts w:ascii="Times New Roman" w:hAnsi="Times New Roman" w:cs="Times New Roman"/>
          <w:sz w:val="28"/>
          <w:sz-cs w:val="28"/>
          <w:spacing w:val="0"/>
        </w:rPr>
        <w:t xml:space="preserve"> 155744787-2-2023 DV 90</w:t>
      </w:r>
    </w:p>
    <w:p>
      <w:pPr/>
      <w:r>
        <w:rPr>
          <w:rFonts w:ascii="Times New Roman" w:hAnsi="Times New Roman" w:cs="Times New Roman"/>
          <w:sz w:val="28"/>
          <w:sz-cs w:val="28"/>
          <w:b/>
          <w:spacing w:val="0"/>
        </w:rPr>
        <w:t xml:space="preserve">Tipo de sociedad:</w:t>
      </w:r>
      <w:r>
        <w:rPr>
          <w:rFonts w:ascii="Times New Roman" w:hAnsi="Times New Roman" w:cs="Times New Roman"/>
          <w:sz w:val="28"/>
          <w:sz-cs w:val="28"/>
          <w:spacing w:val="0"/>
        </w:rPr>
        <w:t xml:space="preserve"> Sociedad Anónima (constituida el 17 de noviembre de 2023, Notaría Sexta del Circuito de Panamá)</w:t>
      </w:r>
    </w:p>
    <w:p>
      <w:pPr/>
      <w:r>
        <w:rPr>
          <w:rFonts w:ascii="Times New Roman" w:hAnsi="Times New Roman" w:cs="Times New Roman"/>
          <w:sz w:val="28"/>
          <w:sz-cs w:val="28"/>
          <w:b/>
          <w:spacing w:val="0"/>
        </w:rPr>
        <w:t xml:space="preserve">Apoderado / Representante legal:</w:t>
      </w:r>
      <w:r>
        <w:rPr>
          <w:rFonts w:ascii="Times New Roman" w:hAnsi="Times New Roman" w:cs="Times New Roman"/>
          <w:sz w:val="28"/>
          <w:sz-cs w:val="28"/>
          <w:spacing w:val="0"/>
        </w:rPr>
        <w:t xml:space="preserve">  </w:t>
      </w:r>
    </w:p>
    <w:p>
      <w:pPr/>
      <w:r>
        <w:rPr>
          <w:rFonts w:ascii="Times New Roman" w:hAnsi="Times New Roman" w:cs="Times New Roman"/>
          <w:sz w:val="28"/>
          <w:sz-cs w:val="28"/>
          <w:b/>
          <w:spacing w:val="0"/>
        </w:rPr>
        <w:t xml:space="preserve">Documento de identidad:</w:t>
      </w:r>
      <w:r>
        <w:rPr>
          <w:rFonts w:ascii="Times New Roman" w:hAnsi="Times New Roman" w:cs="Times New Roman"/>
          <w:sz w:val="28"/>
          <w:sz-cs w:val="28"/>
          <w:spacing w:val="0"/>
        </w:rPr>
        <w:t xml:space="preserve">  </w:t>
      </w:r>
    </w:p>
    <w:p>
      <w:pPr/>
      <w:r>
        <w:rPr>
          <w:rFonts w:ascii="Times New Roman" w:hAnsi="Times New Roman" w:cs="Times New Roman"/>
          <w:sz w:val="28"/>
          <w:sz-cs w:val="28"/>
          <w:b/>
          <w:spacing w:val="0"/>
        </w:rPr>
        <w:t xml:space="preserve">Correo:</w:t>
      </w:r>
      <w:r>
        <w:rPr>
          <w:rFonts w:ascii="Times New Roman" w:hAnsi="Times New Roman" w:cs="Times New Roman"/>
          <w:sz w:val="28"/>
          <w:sz-cs w:val="28"/>
          <w:spacing w:val="0"/>
        </w:rPr>
        <w:t xml:space="preserve">  </w:t>
      </w:r>
    </w:p>
    <w:p>
      <w:pPr/>
      <w:r>
        <w:rPr>
          <w:rFonts w:ascii="Times New Roman" w:hAnsi="Times New Roman" w:cs="Times New Roman"/>
          <w:sz w:val="28"/>
          <w:sz-cs w:val="28"/>
          <w:b/>
          <w:spacing w:val="0"/>
        </w:rPr>
        <w:t xml:space="preserve">Domicilio:</w:t>
      </w:r>
      <w:r>
        <w:rPr>
          <w:rFonts w:ascii="Times New Roman" w:hAnsi="Times New Roman" w:cs="Times New Roman"/>
          <w:sz w:val="28"/>
          <w:sz-cs w:val="28"/>
          <w:spacing w:val="0"/>
        </w:rPr>
        <w:t xml:space="preserve"> Galera 3, Manzana 2, P.H. Originario Zona Franca y Comercial Las Américas, Panapark Free Zone, Corregimiento 24 de Diciembre, Distrito de Panamá, Provincia de Panamá, República de Panamá.</w:t>
      </w:r>
    </w:p>
    <w:p>
      <w:pPr/>
      <w:r>
        <w:rPr>
          <w:rFonts w:ascii="Times New Roman" w:hAnsi="Times New Roman" w:cs="Times New Roman"/>
          <w:sz w:val="28"/>
          <w:sz-cs w:val="28"/>
          <w:b/>
          <w:spacing w:val="0"/>
        </w:rPr>
        <w:t xml:space="preserve">Contenido aplicable</w:t>
      </w:r>
    </w:p>
    <w:p>
      <w:pPr/>
      <w:r>
        <w:rPr>
          <w:rFonts w:ascii="Times New Roman" w:hAnsi="Times New Roman" w:cs="Times New Roman"/>
          <w:sz w:val="28"/>
          <w:sz-cs w:val="28"/>
          <w:spacing w:val="0"/>
        </w:rPr>
        <w:t xml:space="preserve">País de prestación de los Productos y Servicios</w:t>
      </w:r>
    </w:p>
    <w:p>
      <w:pPr/>
      <w:r>
        <w:rPr>
          <w:rFonts w:ascii="Times New Roman" w:hAnsi="Times New Roman" w:cs="Times New Roman"/>
          <w:sz w:val="28"/>
          <w:sz-cs w:val="28"/>
          <w:b/>
          <w:spacing w:val="0"/>
        </w:rPr>
        <w:t xml:space="preserve">República de Panamá</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El PARTNER actuará como</w:t>
      </w:r>
    </w:p>
    <w:p>
      <w:pPr/>
      <w:r>
        <w:rPr>
          <w:rFonts w:ascii="Times New Roman" w:hAnsi="Times New Roman" w:cs="Times New Roman"/>
          <w:sz w:val="28"/>
          <w:sz-cs w:val="28"/>
          <w:b/>
          <w:spacing w:val="0"/>
        </w:rPr>
        <w:t xml:space="preserve">Solution Partner</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¿El PARTNER se encuentra integrado tecnológicamente con KUSHKI?</w:t>
      </w:r>
    </w:p>
    <w:p>
      <w:pPr/>
      <w:r>
        <w:rPr>
          <w:rFonts w:ascii="Times New Roman" w:hAnsi="Times New Roman" w:cs="Times New Roman"/>
          <w:sz w:val="28"/>
          <w:sz-cs w:val="28"/>
          <w:b/>
          <w:spacing w:val="0"/>
        </w:rPr>
        <w:t xml:space="preserve">Sí</w:t>
      </w:r>
      <w:r>
        <w:rPr>
          <w:rFonts w:ascii="Times New Roman" w:hAnsi="Times New Roman" w:cs="Times New Roman"/>
          <w:sz w:val="28"/>
          <w:sz-cs w:val="28"/>
          <w:spacing w:val="0"/>
        </w:rPr>
        <w:t xml:space="preserve"/>
      </w:r>
    </w:p>
    <w:p>
      <w:pPr>
        <w:jc w:val="both"/>
        <w:spacing w:after="266"/>
      </w:pPr>
      <w:r>
        <w:rPr>
          <w:rFonts w:ascii="Times New Roman" w:hAnsi="Times New Roman" w:cs="Times New Roman"/>
          <w:sz w:val="29"/>
          <w:sz-cs w:val="29"/>
          <w:spacing w:val="0"/>
        </w:rPr>
        <w:t xml:space="preserve">Conste por el presente documento el Contrato de Comercialización de Productos y Servicios a través de Partners (el "Contrato") que celebran, de una parte, KUSHKI, y de otra parte, ALLEEN, S.A., en su condición de PARTNER (conjuntamente, las "Partes" e, individualmente, una "Parte"), de conformidad con las siguientes Declaraciones y Cláusulas. Las Partes reconocen que el PARTNER actuará como </w:t>
      </w:r>
      <w:r>
        <w:rPr>
          <w:rFonts w:ascii="Times New Roman" w:hAnsi="Times New Roman" w:cs="Times New Roman"/>
          <w:sz w:val="29"/>
          <w:sz-cs w:val="29"/>
          <w:b/>
          <w:spacing w:val="0"/>
        </w:rPr>
        <w:t xml:space="preserve">Solution Partner integrado tecnológicamente</w:t>
      </w:r>
      <w:r>
        <w:rPr>
          <w:rFonts w:ascii="Times New Roman" w:hAnsi="Times New Roman" w:cs="Times New Roman"/>
          <w:sz w:val="29"/>
          <w:sz-cs w:val="29"/>
          <w:spacing w:val="0"/>
        </w:rPr>
        <w:t xml:space="preserve">, y que en consecuencia le resultan aplicables la totalidad de las disposiciones del presente Contrato, incluidas las relativas a la Plataforma Tecnológica.</w:t>
      </w:r>
    </w:p>
    <w:p>
      <w:pPr>
        <w:jc w:val="both"/>
        <w:spacing w:after="160"/>
      </w:pPr>
      <w:r>
        <w:rPr>
          <w:rFonts w:ascii="Times New Roman" w:hAnsi="Times New Roman" w:cs="Times New Roman"/>
          <w:sz w:val="32"/>
          <w:sz-cs w:val="32"/>
          <w:b/>
          <w:spacing w:val="0"/>
        </w:rPr>
        <w:t xml:space="preserve">SECCIÓN I: DECLARACIONES</w:t>
      </w:r>
    </w:p>
    <w:p>
      <w:pPr>
        <w:jc w:val="both"/>
        <w:spacing w:after="106"/>
      </w:pPr>
      <w:r>
        <w:rPr>
          <w:rFonts w:ascii="Times New Roman" w:hAnsi="Times New Roman" w:cs="Times New Roman"/>
          <w:sz w:val="29"/>
          <w:sz-cs w:val="29"/>
          <w:b/>
          <w:spacing w:val="0"/>
        </w:rPr>
        <w:t xml:space="preserve">Declara KUSHKI:</w:t>
      </w:r>
    </w:p>
    <w:p>
      <w:pPr>
        <w:jc w:val="both"/>
        <w:spacing w:after="213"/>
      </w:pPr>
      <w:r>
        <w:rPr>
          <w:rFonts w:ascii="Times New Roman" w:hAnsi="Times New Roman" w:cs="Times New Roman"/>
          <w:sz w:val="29"/>
          <w:sz-cs w:val="29"/>
          <w:spacing w:val="0"/>
        </w:rPr>
        <w:t xml:space="preserve">(i) Que es una sociedad mercantil debidamente constituida conforme a las leyes aplicables, y (ii) que su representante legal cuenta con las facultades legales suficientes y necesarias para celebrar el Contrato en su nombre y representación, las cuales no le han sido revocadas, modificadas ni limitadas de manera alguna con anterioridad a la firma del Contrato; y que sus estatutos sociales la facultan para la celebración del Contrato.</w:t>
      </w:r>
    </w:p>
    <w:p>
      <w:pPr>
        <w:jc w:val="both"/>
        <w:spacing w:after="106"/>
      </w:pPr>
      <w:r>
        <w:rPr>
          <w:rFonts w:ascii="Times New Roman" w:hAnsi="Times New Roman" w:cs="Times New Roman"/>
          <w:sz w:val="29"/>
          <w:sz-cs w:val="29"/>
          <w:b/>
          <w:spacing w:val="0"/>
        </w:rPr>
        <w:t xml:space="preserve">Declara el PARTNER:</w:t>
      </w:r>
    </w:p>
    <w:p>
      <w:pPr>
        <w:jc w:val="both"/>
        <w:spacing w:after="213"/>
      </w:pPr>
      <w:r>
        <w:rPr>
          <w:rFonts w:ascii="Times New Roman" w:hAnsi="Times New Roman" w:cs="Times New Roman"/>
          <w:sz w:val="29"/>
          <w:sz-cs w:val="29"/>
          <w:spacing w:val="0"/>
        </w:rPr>
        <w:t xml:space="preserve">(i) Que es una sociedad anónima debidamente constituida y existente conforme a las leyes de la República de Panamá, y (ii) que su representante legal cuenta con las facultades legales suficientes y necesarias para celebrar el Contrato en su nombre y representación, las cuales no le han sido revocadas, modificadas ni limitadas de manera alguna con anterioridad a la firma del Contrato; que sus estatutos sociales la facultan para la celebración del Contrato; que la celebración y cumplimiento del Contrato no contraviene ningún acuerdo, convenio o contrato del que sea parte o por el cual se encuentre obligado; y que es propietario y/o cuenta con las licencias necesarias sobre una plataforma tecnológica que permite facilitar a sus comercios afiliados el acceso a servicios de aceptación de pagos (la "Plataforma Tecnológica").</w:t>
      </w:r>
    </w:p>
    <w:p>
      <w:pPr>
        <w:jc w:val="both"/>
        <w:spacing w:after="213"/>
      </w:pPr>
      <w:r>
        <w:rPr>
          <w:rFonts w:ascii="Times New Roman" w:hAnsi="Times New Roman" w:cs="Times New Roman"/>
          <w:sz w:val="29"/>
          <w:sz-cs w:val="29"/>
          <w:spacing w:val="0"/>
        </w:rPr>
        <w:t xml:space="preserve">Las Partes convienen obligarse de conformidad y al tenor de las siguientes:</w:t>
      </w:r>
    </w:p>
    <w:p>
      <w:pPr>
        <w:jc w:val="both"/>
        <w:spacing w:after="160"/>
      </w:pPr>
      <w:r>
        <w:rPr>
          <w:rFonts w:ascii="Times New Roman" w:hAnsi="Times New Roman" w:cs="Times New Roman"/>
          <w:sz w:val="32"/>
          <w:sz-cs w:val="32"/>
          <w:b/>
          <w:spacing w:val="0"/>
        </w:rPr>
        <w:t xml:space="preserve">SECCIÓN II: DEFINICIONES</w:t>
      </w:r>
    </w:p>
    <w:p>
      <w:pPr>
        <w:jc w:val="both"/>
        <w:spacing w:after="106"/>
      </w:pPr>
      <w:r>
        <w:rPr>
          <w:rFonts w:ascii="Times New Roman" w:hAnsi="Times New Roman" w:cs="Times New Roman"/>
          <w:sz w:val="29"/>
          <w:sz-cs w:val="29"/>
          <w:b/>
          <w:spacing w:val="0"/>
        </w:rPr>
        <w:t xml:space="preserve">Primera. — Definiciones.</w:t>
      </w:r>
    </w:p>
    <w:p>
      <w:pPr>
        <w:jc w:val="both"/>
        <w:spacing w:after="213"/>
      </w:pPr>
      <w:r>
        <w:rPr>
          <w:rFonts w:ascii="Times New Roman" w:hAnsi="Times New Roman" w:cs="Times New Roman"/>
          <w:sz w:val="29"/>
          <w:sz-cs w:val="29"/>
          <w:spacing w:val="0"/>
        </w:rPr>
        <w:t xml:space="preserve">Salvo que expresamente se desprenda lo contrario, los términos que inicien con mayúscula, sean en singular o plural, tendrán el significado que a continuación se les atribuye:</w:t>
      </w:r>
    </w:p>
    <w:p>
      <w:pPr>
        <w:jc w:val="both"/>
        <w:spacing w:after="213"/>
      </w:pPr>
      <w:r>
        <w:rPr>
          <w:rFonts w:ascii="Times New Roman" w:hAnsi="Times New Roman" w:cs="Times New Roman"/>
          <w:sz w:val="29"/>
          <w:sz-cs w:val="29"/>
          <w:b/>
          <w:spacing w:val="0"/>
        </w:rPr>
        <w:t xml:space="preserve">Actividades de Comercialización:</w:t>
      </w:r>
      <w:r>
        <w:rPr>
          <w:rFonts w:ascii="Times New Roman" w:hAnsi="Times New Roman" w:cs="Times New Roman"/>
          <w:sz w:val="29"/>
          <w:sz-cs w:val="29"/>
          <w:spacing w:val="0"/>
        </w:rPr>
        <w:t xml:space="preserve"> las actividades que desarrolla el PARTNER para el ofrecimiento de los Productos y Servicios, la negociación de condiciones comerciales, la solicitud, evaluación y/o suministro de información para los procesos de vinculación y/o conocimiento del Cliente, el cierre y formalización de Acuerdos de Servicios, y el desarrollo de actividades de logística, distribución y/o soporte de Dispositivos. Comprenden, como mínimo: (i) el contacto con los Clientes Potenciales; (ii) el suministro de información relativa a los Productos y Servicios; (iii) la gestión continua del Cliente Potencial; (iv) la negociación de Tarifas Finales a partir de las Tarifas Base indicadas por KUSHKI; (v) compartir las plantillas establecidas por KUSHKI para la celebración de los Acuerdos de Servicios y asegurar su suscripción por el representante legal del Cliente; (vi) integrar su tecnología con los Productos y Servicios de KUSHKI; (vii) recibir y distribuir los Dispositivos; (viii) canalizar las solicitudes de soporte; y (ix) la resolución de incidentes o requerimientos de primer nivel.</w:t>
      </w:r>
    </w:p>
    <w:p>
      <w:pPr>
        <w:jc w:val="both"/>
        <w:spacing w:after="213"/>
      </w:pPr>
      <w:r>
        <w:rPr>
          <w:rFonts w:ascii="Times New Roman" w:hAnsi="Times New Roman" w:cs="Times New Roman"/>
          <w:sz w:val="29"/>
          <w:sz-cs w:val="29"/>
          <w:b/>
          <w:spacing w:val="0"/>
        </w:rPr>
        <w:t xml:space="preserve">Acuerdo de Servicios:</w:t>
      </w:r>
      <w:r>
        <w:rPr>
          <w:rFonts w:ascii="Times New Roman" w:hAnsi="Times New Roman" w:cs="Times New Roman"/>
          <w:sz w:val="29"/>
          <w:sz-cs w:val="29"/>
          <w:spacing w:val="0"/>
        </w:rPr>
        <w:t xml:space="preserve"> el contrato a suscribir entre el Cliente y KUSHKI, en el que se establece la Tarifa Final por los Productos y Servicios a prestar por KUSHKI.</w:t>
      </w:r>
    </w:p>
    <w:p>
      <w:pPr>
        <w:jc w:val="both"/>
        <w:spacing w:after="213"/>
      </w:pPr>
      <w:r>
        <w:rPr>
          <w:rFonts w:ascii="Times New Roman" w:hAnsi="Times New Roman" w:cs="Times New Roman"/>
          <w:sz w:val="29"/>
          <w:sz-cs w:val="29"/>
          <w:b/>
          <w:spacing w:val="0"/>
        </w:rPr>
        <w:t xml:space="preserve">Cliente:</w:t>
      </w:r>
      <w:r>
        <w:rPr>
          <w:rFonts w:ascii="Times New Roman" w:hAnsi="Times New Roman" w:cs="Times New Roman"/>
          <w:sz w:val="29"/>
          <w:sz-cs w:val="29"/>
          <w:spacing w:val="0"/>
        </w:rPr>
        <w:t xml:space="preserve"> cada Cliente Potencial (i) que ha sido presentado a KUSHKI por el PARTNER conforme al Contrato, (ii) con el cual KUSHKI ha celebrado y perfeccionado un Acuerdo de Servicios dentro de los 6 (seis) meses siguientes a su presentación por el PARTNER, como resultado directo de las Actividades de Comercialización del PARTNER, y (iii) que pague las Tarifas Finales a KUSHKI. Tratándose de Clientes Potenciales que correspondan a cadenas, franquicias o grupos con dos (2) o más puntos de venta, el plazo previsto en el numeral (ii) será de 12 (doce) meses, en atención a su mayor ciclo de decisión.</w:t>
      </w:r>
    </w:p>
    <w:p>
      <w:pPr>
        <w:jc w:val="both"/>
        <w:spacing w:after="213"/>
      </w:pPr>
      <w:r>
        <w:rPr>
          <w:rFonts w:ascii="Times New Roman" w:hAnsi="Times New Roman" w:cs="Times New Roman"/>
          <w:sz w:val="29"/>
          <w:sz-cs w:val="29"/>
          <w:b/>
          <w:spacing w:val="0"/>
        </w:rPr>
        <w:t xml:space="preserve">Clientes Potenciales:</w:t>
      </w:r>
      <w:r>
        <w:rPr>
          <w:rFonts w:ascii="Times New Roman" w:hAnsi="Times New Roman" w:cs="Times New Roman"/>
          <w:sz w:val="29"/>
          <w:sz-cs w:val="29"/>
          <w:spacing w:val="0"/>
        </w:rPr>
        <w:t xml:space="preserve"> personas físicas o jurídicas de cualquier giro comercial permitido por KUSHKI, contactadas y recomendadas directamente por el PARTNER, que se constituyen como prospectos para la celebración de un Acuerdo de Servicios con KUSHKI. Salvo pacto previo en contrario, no podrá ser Cliente Potencial aquel que, a la fecha de su presentación por el PARTNER, (i) sea o haya sido cliente de KUSHKI en los últimos 12 (doce) meses, o (ii) haya sido contactado por, o haya contactado a, KUSHKI para cotizar o evaluar Productos y Servicios en los últimos 12 (doce) meses. A fin de evitar que el PARTNER despliegue esfuerzo comercial sobre prospectos no elegibles, KUSHKI habilitará en el Portal de Partners un mecanismo de verificación que, al momento del registro, confirme en línea la disponibilidad del Cliente Potencial. Cualquier controversia sobre la elegibilidad de un Cliente Potencial se resolverá de buena fe, debiendo KUSHKI acreditar documentalmente la presentación previa por un tercero o el contacto comercial anterior en que sustente la inelegibilidad.</w:t>
      </w:r>
    </w:p>
    <w:p>
      <w:pPr>
        <w:jc w:val="both"/>
        <w:spacing w:after="213"/>
      </w:pPr>
      <w:r>
        <w:rPr>
          <w:rFonts w:ascii="Times New Roman" w:hAnsi="Times New Roman" w:cs="Times New Roman"/>
          <w:sz w:val="29"/>
          <w:sz-cs w:val="29"/>
          <w:b/>
          <w:spacing w:val="0"/>
        </w:rPr>
        <w:t xml:space="preserve">Comisión:</w:t>
      </w:r>
      <w:r>
        <w:rPr>
          <w:rFonts w:ascii="Times New Roman" w:hAnsi="Times New Roman" w:cs="Times New Roman"/>
          <w:sz w:val="29"/>
          <w:sz-cs w:val="29"/>
          <w:spacing w:val="0"/>
        </w:rPr>
        <w:t xml:space="preserve"> el porcentaje del Residual que será pagado al PARTNER, siempre que la presentación del Cliente Potencial haya dado lugar a la celebración de un Acuerdo de Servicios válido y vigente con KUSHKI al momento de la liquidación del Residual.</w:t>
      </w:r>
    </w:p>
    <w:p>
      <w:pPr>
        <w:jc w:val="both"/>
        <w:spacing w:after="213"/>
      </w:pPr>
      <w:r>
        <w:rPr>
          <w:rFonts w:ascii="Times New Roman" w:hAnsi="Times New Roman" w:cs="Times New Roman"/>
          <w:sz w:val="29"/>
          <w:sz-cs w:val="29"/>
          <w:b/>
          <w:spacing w:val="0"/>
        </w:rPr>
        <w:t xml:space="preserve">Dispositivo:</w:t>
      </w:r>
      <w:r>
        <w:rPr>
          <w:rFonts w:ascii="Times New Roman" w:hAnsi="Times New Roman" w:cs="Times New Roman"/>
          <w:sz w:val="29"/>
          <w:sz-cs w:val="29"/>
          <w:spacing w:val="0"/>
        </w:rPr>
        <w:t xml:space="preserve"> el dispositivo físico y electrónico, con su software controlador o aplicación, que se conecta a teléfonos inteligentes, tabletas u otros aparatos digitales como terminal de lectura de tarjetas con banda magnética y/o chip.</w:t>
      </w:r>
    </w:p>
    <w:p>
      <w:pPr>
        <w:jc w:val="both"/>
        <w:spacing w:after="213"/>
      </w:pPr>
      <w:r>
        <w:rPr>
          <w:rFonts w:ascii="Times New Roman" w:hAnsi="Times New Roman" w:cs="Times New Roman"/>
          <w:sz w:val="29"/>
          <w:sz-cs w:val="29"/>
          <w:b/>
          <w:spacing w:val="0"/>
        </w:rPr>
        <w:t xml:space="preserve">Importe Bruto / Importe Neto:</w:t>
      </w:r>
      <w:r>
        <w:rPr>
          <w:rFonts w:ascii="Times New Roman" w:hAnsi="Times New Roman" w:cs="Times New Roman"/>
          <w:sz w:val="29"/>
          <w:sz-cs w:val="29"/>
          <w:spacing w:val="0"/>
        </w:rPr>
        <w:t xml:space="preserve"> los importes recibidos por KUSHKI de los Clientes atribuibles a Tarifas Finales, calculados conforme a los Términos y Condiciones de KUSHKI, neto de los Pasivos del Cliente y de los costos transaccionales que correspondan.</w:t>
      </w:r>
    </w:p>
    <w:p>
      <w:pPr>
        <w:jc w:val="both"/>
        <w:spacing w:after="213"/>
      </w:pPr>
      <w:r>
        <w:rPr>
          <w:rFonts w:ascii="Times New Roman" w:hAnsi="Times New Roman" w:cs="Times New Roman"/>
          <w:sz w:val="29"/>
          <w:sz-cs w:val="29"/>
          <w:b/>
          <w:spacing w:val="0"/>
        </w:rPr>
        <w:t xml:space="preserve">Monto TPV Mensual:</w:t>
      </w:r>
      <w:r>
        <w:rPr>
          <w:rFonts w:ascii="Times New Roman" w:hAnsi="Times New Roman" w:cs="Times New Roman"/>
          <w:sz w:val="29"/>
          <w:sz-cs w:val="29"/>
          <w:spacing w:val="0"/>
        </w:rPr>
        <w:t xml:space="preserve"> el Importe Neto de los pagos procesados con éxito para el Cliente a través de la Plataforma Tecnológica, efectivamente pagados a KUSHKI en un mes determinado.</w:t>
      </w:r>
    </w:p>
    <w:p>
      <w:pPr>
        <w:jc w:val="both"/>
        <w:spacing w:after="213"/>
      </w:pPr>
      <w:r>
        <w:rPr>
          <w:rFonts w:ascii="Times New Roman" w:hAnsi="Times New Roman" w:cs="Times New Roman"/>
          <w:sz w:val="29"/>
          <w:sz-cs w:val="29"/>
          <w:b/>
          <w:spacing w:val="0"/>
        </w:rPr>
        <w:t xml:space="preserve">Pasivos del Cliente:</w:t>
      </w:r>
      <w:r>
        <w:rPr>
          <w:rFonts w:ascii="Times New Roman" w:hAnsi="Times New Roman" w:cs="Times New Roman"/>
          <w:sz w:val="29"/>
          <w:sz-cs w:val="29"/>
          <w:spacing w:val="0"/>
        </w:rPr>
        <w:t xml:space="preserve"> cualquier pérdida real o anticipada sufrida por KUSHKI o por los Participantes —como contracargos, ajustes, multas, reembolsos, tasas o evaluaciones— derivada de (i) el incumplimiento de las reglas de los Sistemas de Tarjetas, (ii) el incumplimiento del Acuerdo de Servicios, (iii) la conducta, acto u omisión del Cliente, o (iv) el procesamiento de transacciones para el Cliente en virtud del Acuerdo de Servicios.</w:t>
      </w:r>
    </w:p>
    <w:p>
      <w:pPr>
        <w:jc w:val="both"/>
        <w:spacing w:after="213"/>
      </w:pPr>
      <w:r>
        <w:rPr>
          <w:rFonts w:ascii="Times New Roman" w:hAnsi="Times New Roman" w:cs="Times New Roman"/>
          <w:sz w:val="29"/>
          <w:sz-cs w:val="29"/>
          <w:b/>
          <w:spacing w:val="0"/>
        </w:rPr>
        <w:t xml:space="preserve">Participantes:</w:t>
      </w:r>
      <w:r>
        <w:rPr>
          <w:rFonts w:ascii="Times New Roman" w:hAnsi="Times New Roman" w:cs="Times New Roman"/>
          <w:sz w:val="29"/>
          <w:sz-cs w:val="29"/>
          <w:spacing w:val="0"/>
        </w:rPr>
        <w:t xml:space="preserve"> adquirentes, emisores, Sistemas de Marca, procesadores, agregadores, redes de recaudo, proveedores de servicios de dispersión y demás terceros que presten servicios dentro de la cadena de pagos.</w:t>
      </w:r>
    </w:p>
    <w:p>
      <w:pPr>
        <w:jc w:val="both"/>
        <w:spacing w:after="213"/>
      </w:pPr>
      <w:r>
        <w:rPr>
          <w:rFonts w:ascii="Times New Roman" w:hAnsi="Times New Roman" w:cs="Times New Roman"/>
          <w:sz w:val="29"/>
          <w:sz-cs w:val="29"/>
          <w:b/>
          <w:spacing w:val="0"/>
        </w:rPr>
        <w:t xml:space="preserve">Plataforma Tecnológica:</w:t>
      </w:r>
      <w:r>
        <w:rPr>
          <w:rFonts w:ascii="Times New Roman" w:hAnsi="Times New Roman" w:cs="Times New Roman"/>
          <w:sz w:val="29"/>
          <w:sz-cs w:val="29"/>
          <w:spacing w:val="0"/>
        </w:rPr>
        <w:t xml:space="preserve"> la plataforma propiedad del PARTNER o sobre la que cuenta con licencia, integrada con los Productos y Servicios de KUSHKI.</w:t>
      </w:r>
    </w:p>
    <w:p>
      <w:pPr>
        <w:jc w:val="both"/>
        <w:spacing w:after="213"/>
      </w:pPr>
      <w:r>
        <w:rPr>
          <w:rFonts w:ascii="Times New Roman" w:hAnsi="Times New Roman" w:cs="Times New Roman"/>
          <w:sz w:val="29"/>
          <w:sz-cs w:val="29"/>
          <w:b/>
          <w:spacing w:val="0"/>
        </w:rPr>
        <w:t xml:space="preserve">Portal de Partners:</w:t>
      </w:r>
      <w:r>
        <w:rPr>
          <w:rFonts w:ascii="Times New Roman" w:hAnsi="Times New Roman" w:cs="Times New Roman"/>
          <w:sz w:val="29"/>
          <w:sz-cs w:val="29"/>
          <w:spacing w:val="0"/>
        </w:rPr>
        <w:t xml:space="preserve"> el portal desarrollado por KUSHKI para la prospección y registro de Clientes Potenciales, para el cual el PARTNER dispondrá de credenciales de acceso, siendo el único responsable de su uso adecuado.</w:t>
      </w:r>
    </w:p>
    <w:p>
      <w:pPr>
        <w:jc w:val="both"/>
        <w:spacing w:after="213"/>
      </w:pPr>
      <w:r>
        <w:rPr>
          <w:rFonts w:ascii="Times New Roman" w:hAnsi="Times New Roman" w:cs="Times New Roman"/>
          <w:sz w:val="29"/>
          <w:sz-cs w:val="29"/>
          <w:b/>
          <w:spacing w:val="0"/>
        </w:rPr>
        <w:t xml:space="preserve">Productos y Servicios:</w:t>
      </w:r>
      <w:r>
        <w:rPr>
          <w:rFonts w:ascii="Times New Roman" w:hAnsi="Times New Roman" w:cs="Times New Roman"/>
          <w:sz w:val="29"/>
          <w:sz-cs w:val="29"/>
          <w:spacing w:val="0"/>
        </w:rPr>
        <w:t xml:space="preserve"> los bienes y servicios ofrecidos por KUSHKI o sus afiliadas. Salvo pacto en contrario, el Cliente contratará los Productos y Servicios mediante Acuerdos de Servicios firmados con la afiliada constituida en el país en el que el Cliente los utilice.</w:t>
      </w:r>
    </w:p>
    <w:p>
      <w:pPr>
        <w:jc w:val="both"/>
        <w:spacing w:after="213"/>
      </w:pPr>
      <w:r>
        <w:rPr>
          <w:rFonts w:ascii="Times New Roman" w:hAnsi="Times New Roman" w:cs="Times New Roman"/>
          <w:sz w:val="29"/>
          <w:sz-cs w:val="29"/>
          <w:b/>
          <w:spacing w:val="0"/>
        </w:rPr>
        <w:t xml:space="preserve">Residual:</w:t>
      </w:r>
      <w:r>
        <w:rPr>
          <w:rFonts w:ascii="Times New Roman" w:hAnsi="Times New Roman" w:cs="Times New Roman"/>
          <w:sz w:val="29"/>
          <w:sz-cs w:val="29"/>
          <w:spacing w:val="0"/>
        </w:rPr>
        <w:t xml:space="preserve"> el valor que resulta de restar (i) el producto de la Tarifa Base por el Monto TPV Mensual, de (ii) el producto de la Tarifa Final por el Monto TPV Mensual; es decir, el sobreprecio o margen comercializado por el PARTNER.</w:t>
      </w:r>
    </w:p>
    <w:p>
      <w:pPr>
        <w:jc w:val="both"/>
        <w:spacing w:after="213"/>
      </w:pPr>
      <w:r>
        <w:rPr>
          <w:rFonts w:ascii="Times New Roman" w:hAnsi="Times New Roman" w:cs="Times New Roman"/>
          <w:sz w:val="29"/>
          <w:sz-cs w:val="29"/>
          <w:b/>
          <w:spacing w:val="0"/>
        </w:rPr>
        <w:t xml:space="preserve">Tarifa Base:</w:t>
      </w:r>
      <w:r>
        <w:rPr>
          <w:rFonts w:ascii="Times New Roman" w:hAnsi="Times New Roman" w:cs="Times New Roman"/>
          <w:sz w:val="29"/>
          <w:sz-cs w:val="29"/>
          <w:spacing w:val="0"/>
        </w:rPr>
        <w:t xml:space="preserve"> el valor base de los Productos y Servicios, definido por KUSHKI e indicado al PARTNER por escrito en el Anexo No. 1, a partir del cual el PARTNER determinará la Tarifa Final.</w:t>
      </w:r>
    </w:p>
    <w:p>
      <w:pPr>
        <w:jc w:val="both"/>
        <w:spacing w:after="213"/>
      </w:pPr>
      <w:r>
        <w:rPr>
          <w:rFonts w:ascii="Times New Roman" w:hAnsi="Times New Roman" w:cs="Times New Roman"/>
          <w:sz w:val="29"/>
          <w:sz-cs w:val="29"/>
          <w:b/>
          <w:spacing w:val="0"/>
        </w:rPr>
        <w:t xml:space="preserve">Tarifa Final:</w:t>
      </w:r>
      <w:r>
        <w:rPr>
          <w:rFonts w:ascii="Times New Roman" w:hAnsi="Times New Roman" w:cs="Times New Roman"/>
          <w:sz w:val="29"/>
          <w:sz-cs w:val="29"/>
          <w:spacing w:val="0"/>
        </w:rPr>
        <w:t xml:space="preserve"> el valor final acordado entre el PARTNER y el Cliente Potencial, a partir de la Tarifa Base, que quede formalizado en el Acuerdo de Servicios.</w:t>
      </w:r>
    </w:p>
    <w:p>
      <w:pPr>
        <w:jc w:val="both"/>
        <w:spacing w:after="213"/>
      </w:pPr>
      <w:r>
        <w:rPr>
          <w:rFonts w:ascii="Times New Roman" w:hAnsi="Times New Roman" w:cs="Times New Roman"/>
          <w:sz w:val="29"/>
          <w:sz-cs w:val="29"/>
          <w:b/>
          <w:spacing w:val="0"/>
        </w:rPr>
        <w:t xml:space="preserve">Términos y Condiciones de KUSHKI:</w:t>
      </w:r>
      <w:r>
        <w:rPr>
          <w:rFonts w:ascii="Times New Roman" w:hAnsi="Times New Roman" w:cs="Times New Roman"/>
          <w:sz w:val="29"/>
          <w:sz-cs w:val="29"/>
          <w:spacing w:val="0"/>
        </w:rPr>
        <w:t xml:space="preserve"> el documento que regula condiciones operativas y técnicas de los Productos y Servicios, que se acompaña como Anexo No. 2 y forma parte integrante del Contrato. Su modificación se regirá por la Cláusula Décima Séptima.</w:t>
      </w:r>
    </w:p>
    <w:p>
      <w:pPr>
        <w:jc w:val="both"/>
        <w:spacing w:after="160"/>
      </w:pPr>
      <w:r>
        <w:rPr>
          <w:rFonts w:ascii="Times New Roman" w:hAnsi="Times New Roman" w:cs="Times New Roman"/>
          <w:sz w:val="32"/>
          <w:sz-cs w:val="32"/>
          <w:b/>
          <w:spacing w:val="0"/>
        </w:rPr>
        <w:t xml:space="preserve">SECCIÓN III: OBJETO, ALCANCE Y OBLIGACIONES</w:t>
      </w:r>
    </w:p>
    <w:p>
      <w:pPr>
        <w:jc w:val="both"/>
        <w:spacing w:after="106"/>
      </w:pPr>
      <w:r>
        <w:rPr>
          <w:rFonts w:ascii="Times New Roman" w:hAnsi="Times New Roman" w:cs="Times New Roman"/>
          <w:sz w:val="29"/>
          <w:sz-cs w:val="29"/>
          <w:b/>
          <w:spacing w:val="0"/>
        </w:rPr>
        <w:t xml:space="preserve">Segunda. — Objeto.</w:t>
      </w:r>
    </w:p>
    <w:p>
      <w:pPr>
        <w:jc w:val="both"/>
        <w:spacing w:after="213"/>
      </w:pPr>
      <w:r>
        <w:rPr>
          <w:rFonts w:ascii="Times New Roman" w:hAnsi="Times New Roman" w:cs="Times New Roman"/>
          <w:sz w:val="29"/>
          <w:sz-cs w:val="29"/>
          <w:spacing w:val="0"/>
        </w:rPr>
        <w:t xml:space="preserve">El objeto del Contrato es establecer el marco de colaboración para regular las condiciones bajo las cuales el PARTNER desarrollará las Actividades de Comercialización, con el objetivo de la celebración y perfeccionamiento de Acuerdos de Servicios entre KUSHKI y los Clientes Potenciales presentados por el PARTNER. Las Partes reconocen que: (a) KUSHKI se reserva el derecho de aceptar o rechazar la celebración de cualquier Acuerdo de Servicios conforme a sus políticas internas de vinculación, cumplimiento y riesgos, sin que el registro de un Cliente Potencial garantice su vinculación; y (b) el PARTNER no se encuentra facultado para celebrar Acuerdos de Servicios ni cualquier otro acto jurídico en nombre y/o representación de KUSHKI.</w:t>
      </w:r>
    </w:p>
    <w:p>
      <w:pPr>
        <w:jc w:val="both"/>
        <w:spacing w:after="106"/>
      </w:pPr>
      <w:r>
        <w:rPr>
          <w:rFonts w:ascii="Times New Roman" w:hAnsi="Times New Roman" w:cs="Times New Roman"/>
          <w:sz w:val="29"/>
          <w:sz-cs w:val="29"/>
          <w:b/>
          <w:spacing w:val="0"/>
        </w:rPr>
        <w:t xml:space="preserve">Tercera. — Alcance del Objeto.</w:t>
      </w:r>
    </w:p>
    <w:p>
      <w:pPr>
        <w:jc w:val="both"/>
        <w:spacing w:after="213"/>
      </w:pPr>
      <w:r>
        <w:rPr>
          <w:rFonts w:ascii="Times New Roman" w:hAnsi="Times New Roman" w:cs="Times New Roman"/>
          <w:sz w:val="29"/>
          <w:sz-cs w:val="29"/>
          <w:spacing w:val="0"/>
        </w:rPr>
        <w:t xml:space="preserve">3.1. El PARTNER contactará y ofrecerá a los Clientes Potenciales los Productos y Servicios. KUSHKI indicará al PARTNER la Tarifa Base, sobre la cual el PARTNER podrá ofrecer una Tarifa Final que en ningún caso será inferior a aquélla.</w:t>
      </w:r>
    </w:p>
    <w:p>
      <w:pPr>
        <w:jc w:val="both"/>
        <w:spacing w:after="213"/>
      </w:pPr>
      <w:r>
        <w:rPr>
          <w:rFonts w:ascii="Times New Roman" w:hAnsi="Times New Roman" w:cs="Times New Roman"/>
          <w:sz w:val="29"/>
          <w:sz-cs w:val="29"/>
          <w:spacing w:val="0"/>
        </w:rPr>
        <w:t xml:space="preserve">3.2. El PARTNER gestionará y soportará las negociaciones del Acuerdo de Servicios. El modelo de Acuerdo de Servicios será definido por KUSHKI; cualquier cambio solicitado por el Cliente Potencial requerirá autorización previa de KUSHKI.</w:t>
      </w:r>
    </w:p>
    <w:p>
      <w:pPr>
        <w:jc w:val="both"/>
        <w:spacing w:after="213"/>
      </w:pPr>
      <w:r>
        <w:rPr>
          <w:rFonts w:ascii="Times New Roman" w:hAnsi="Times New Roman" w:cs="Times New Roman"/>
          <w:sz w:val="29"/>
          <w:sz-cs w:val="29"/>
          <w:spacing w:val="0"/>
        </w:rPr>
        <w:t xml:space="preserve">3.3. El PARTNER prestará los servicios de atención, soporte y mantenimiento que resulten requeridos respecto de la integración de la Plataforma Tecnológica, frente a los Clientes y frente a KUSHKI.</w:t>
      </w:r>
    </w:p>
    <w:p>
      <w:pPr>
        <w:jc w:val="both"/>
        <w:spacing w:after="213"/>
      </w:pPr>
      <w:r>
        <w:rPr>
          <w:rFonts w:ascii="Times New Roman" w:hAnsi="Times New Roman" w:cs="Times New Roman"/>
          <w:sz w:val="29"/>
          <w:sz-cs w:val="29"/>
          <w:spacing w:val="0"/>
        </w:rPr>
        <w:t xml:space="preserve">3.4. </w:t>
      </w:r>
      <w:r>
        <w:rPr>
          <w:rFonts w:ascii="Times New Roman" w:hAnsi="Times New Roman" w:cs="Times New Roman"/>
          <w:sz w:val="29"/>
          <w:sz-cs w:val="29"/>
          <w:u w:val="single"/>
          <w:spacing w:val="0"/>
        </w:rPr>
        <w:t xml:space="preserve">Presentación de Clientes Potenciales.</w:t>
      </w:r>
      <w:r>
        <w:rPr>
          <w:rFonts w:ascii="Times New Roman" w:hAnsi="Times New Roman" w:cs="Times New Roman"/>
          <w:sz w:val="29"/>
          <w:sz-cs w:val="29"/>
          <w:spacing w:val="0"/>
        </w:rPr>
        <w:t xml:space="preserve"> El PARTNER registrará en el Portal de Partners a cada Cliente Potencial cualificado, con la información requerida. El Cliente Potencial que, tras ser así referido, celebre y perfeccione un Acuerdo de Servicios con KUSHKI se entenderá como "Cliente".</w:t>
      </w:r>
    </w:p>
    <w:p>
      <w:pPr>
        <w:jc w:val="both"/>
        <w:spacing w:after="213"/>
      </w:pPr>
      <w:r>
        <w:rPr>
          <w:rFonts w:ascii="Times New Roman" w:hAnsi="Times New Roman" w:cs="Times New Roman"/>
          <w:sz w:val="29"/>
          <w:sz-cs w:val="29"/>
          <w:spacing w:val="0"/>
        </w:rPr>
        <w:t xml:space="preserve">3.5. </w:t>
      </w:r>
      <w:r>
        <w:rPr>
          <w:rFonts w:ascii="Times New Roman" w:hAnsi="Times New Roman" w:cs="Times New Roman"/>
          <w:sz w:val="29"/>
          <w:sz-cs w:val="29"/>
          <w:u w:val="single"/>
          <w:spacing w:val="0"/>
        </w:rPr>
        <w:t xml:space="preserve">Titularidad de la información.</w:t>
      </w:r>
      <w:r>
        <w:rPr>
          <w:rFonts w:ascii="Times New Roman" w:hAnsi="Times New Roman" w:cs="Times New Roman"/>
          <w:sz w:val="29"/>
          <w:sz-cs w:val="29"/>
          <w:spacing w:val="0"/>
        </w:rPr>
        <w:t xml:space="preserve"> La información, documentación y datos generados específicamente dentro del proceso de vinculación y onboarding de los Clientes ante KUSHKI se considerará de titularidad de KUSHKI, y el PARTNER se obliga a no utilizarlos para fines distintos a la ejecución del Contrato. Se exceptúa expresamente, y permanecerá como propiedad exclusiva del PARTNER: (i) su base de datos de prospectos y su pipeline comercial, preexistentes o desarrollados por medios propios; (ii) la información de sus propios clientes derivada de los productos y servicios que el PARTNER comercializa por cuenta propia; y (iii) su Plataforma Tecnológica, software y desarrollos. El PARTNER conserva el derecho de comercializar y vender sus propias soluciones a cualquier Cliente Potencial o Cliente, incluida su opción integrada para conectarse a los Productos y Servicios de KUSHKI.</w:t>
      </w:r>
    </w:p>
    <w:p>
      <w:pPr>
        <w:jc w:val="both"/>
        <w:spacing w:after="106"/>
      </w:pPr>
      <w:r>
        <w:rPr>
          <w:rFonts w:ascii="Times New Roman" w:hAnsi="Times New Roman" w:cs="Times New Roman"/>
          <w:sz w:val="29"/>
          <w:sz-cs w:val="29"/>
          <w:b/>
          <w:spacing w:val="0"/>
        </w:rPr>
        <w:t xml:space="preserve">Cuarta. — Obligaciones.</w:t>
      </w:r>
    </w:p>
    <w:p>
      <w:pPr>
        <w:jc w:val="both"/>
        <w:spacing w:after="213"/>
      </w:pPr>
      <w:r>
        <w:rPr>
          <w:rFonts w:ascii="Times New Roman" w:hAnsi="Times New Roman" w:cs="Times New Roman"/>
          <w:sz w:val="29"/>
          <w:sz-cs w:val="29"/>
          <w:b/>
          <w:spacing w:val="0"/>
        </w:rPr>
        <w:t xml:space="preserve">4.1. Obligaciones de KUSHKI.</w:t>
      </w:r>
      <w:r>
        <w:rPr>
          <w:rFonts w:ascii="Times New Roman" w:hAnsi="Times New Roman" w:cs="Times New Roman"/>
          <w:sz w:val="29"/>
          <w:sz-cs w:val="29"/>
          <w:spacing w:val="0"/>
        </w:rPr>
        <w:t xml:space="preserve"/>
      </w:r>
    </w:p>
    <w:p>
      <w:pPr>
        <w:jc w:val="both"/>
        <w:ind w:left="720" w:first-line="-720"/>
        <w:spacing w:after="133"/>
      </w:pPr>
      <w:r>
        <w:rPr>
          <w:rFonts w:ascii="Times New Roman" w:hAnsi="Times New Roman" w:cs="Times New Roman"/>
          <w:sz w:val="29"/>
          <w:sz-cs w:val="29"/>
        </w:rPr>
        <w:t xml:space="preserve"/>
        <w:tab/>
        <w:t xml:space="preserve">1</w:t>
        <w:tab/>
        <w:t xml:space="preserve"/>
      </w:r>
      <w:r>
        <w:rPr>
          <w:rFonts w:ascii="Times New Roman" w:hAnsi="Times New Roman" w:cs="Times New Roman"/>
          <w:sz w:val="29"/>
          <w:sz-cs w:val="29"/>
          <w:spacing w:val="0"/>
        </w:rPr>
        <w:t xml:space="preserve">Entregar al PARTNER la información y materiales de mercadeo pertinentes a los Productos y Servicios, así como las condiciones de su comercialización.</w:t>
      </w:r>
    </w:p>
    <w:p>
      <w:pPr>
        <w:jc w:val="both"/>
        <w:ind w:left="720" w:first-line="-720"/>
        <w:spacing w:after="133"/>
      </w:pPr>
      <w:r>
        <w:rPr>
          <w:rFonts w:ascii="Times New Roman" w:hAnsi="Times New Roman" w:cs="Times New Roman"/>
          <w:sz w:val="29"/>
          <w:sz-cs w:val="29"/>
        </w:rPr>
        <w:t xml:space="preserve"/>
        <w:tab/>
        <w:t xml:space="preserve">2</w:t>
        <w:tab/>
        <w:t xml:space="preserve"/>
      </w:r>
      <w:r>
        <w:rPr>
          <w:rFonts w:ascii="Times New Roman" w:hAnsi="Times New Roman" w:cs="Times New Roman"/>
          <w:sz w:val="29"/>
          <w:sz-cs w:val="29"/>
          <w:spacing w:val="0"/>
        </w:rPr>
        <w:t xml:space="preserve">Indicar al PARTNER, por escrito y en el Anexo No. 1, la Tarifa Base aplicable, discriminada por método de pago, antes de la ejecución del Contrato; y notificar con antelación razonable cualquier modificación a la misma conforme a la Cláusula Décima Séptima.</w:t>
      </w:r>
    </w:p>
    <w:p>
      <w:pPr>
        <w:jc w:val="both"/>
        <w:ind w:left="720" w:first-line="-720"/>
        <w:spacing w:after="133"/>
      </w:pPr>
      <w:r>
        <w:rPr>
          <w:rFonts w:ascii="Times New Roman" w:hAnsi="Times New Roman" w:cs="Times New Roman"/>
          <w:sz w:val="29"/>
          <w:sz-cs w:val="29"/>
        </w:rPr>
        <w:t xml:space="preserve"/>
        <w:tab/>
        <w:t xml:space="preserve">3</w:t>
        <w:tab/>
        <w:t xml:space="preserve"/>
      </w:r>
      <w:r>
        <w:rPr>
          <w:rFonts w:ascii="Times New Roman" w:hAnsi="Times New Roman" w:cs="Times New Roman"/>
          <w:sz w:val="29"/>
          <w:sz-cs w:val="29"/>
          <w:spacing w:val="0"/>
        </w:rPr>
        <w:t xml:space="preserve">Pagar al PARTNER la Comisión en los plazos y condiciones establecidos en el Contrato y en el Anexo No. 1.</w:t>
      </w:r>
    </w:p>
    <w:p>
      <w:pPr>
        <w:jc w:val="both"/>
        <w:ind w:left="720" w:first-line="-720"/>
        <w:spacing w:after="133"/>
      </w:pPr>
      <w:r>
        <w:rPr>
          <w:rFonts w:ascii="Times New Roman" w:hAnsi="Times New Roman" w:cs="Times New Roman"/>
          <w:sz w:val="29"/>
          <w:sz-cs w:val="29"/>
        </w:rPr>
        <w:t xml:space="preserve"/>
        <w:tab/>
        <w:t xml:space="preserve">4</w:t>
        <w:tab/>
        <w:t xml:space="preserve"/>
      </w:r>
      <w:r>
        <w:rPr>
          <w:rFonts w:ascii="Times New Roman" w:hAnsi="Times New Roman" w:cs="Times New Roman"/>
          <w:sz w:val="29"/>
          <w:sz-cs w:val="29"/>
          <w:spacing w:val="0"/>
        </w:rPr>
        <w:t xml:space="preserve">Certificar, previo a la ejecución del Contrato, la integración de los métodos de pago, productos y herramientas antifraude del PARTNER en la Plataforma Tecnológica, e informar oportunamente los estándares para mantenerla actualizada.</w:t>
      </w:r>
    </w:p>
    <w:p>
      <w:pPr>
        <w:jc w:val="both"/>
        <w:ind w:left="720" w:first-line="-720"/>
        <w:spacing w:after="133"/>
      </w:pPr>
      <w:r>
        <w:rPr>
          <w:rFonts w:ascii="Times New Roman" w:hAnsi="Times New Roman" w:cs="Times New Roman"/>
          <w:sz w:val="29"/>
          <w:sz-cs w:val="29"/>
        </w:rPr>
        <w:t xml:space="preserve"/>
        <w:tab/>
        <w:t xml:space="preserve">5</w:t>
        <w:tab/>
        <w:t xml:space="preserve"/>
      </w:r>
      <w:r>
        <w:rPr>
          <w:rFonts w:ascii="Times New Roman" w:hAnsi="Times New Roman" w:cs="Times New Roman"/>
          <w:sz w:val="29"/>
          <w:sz-cs w:val="29"/>
          <w:spacing w:val="0"/>
        </w:rPr>
        <w:t xml:space="preserve">Habilitar y mantener operativo el mecanismo de verificación de disponibilidad de Clientes Potenciales en el Portal de Partners, y entregar mensualmente el reporte de Comisiones con el detalle previsto en la Cláusula Sexta.</w:t>
      </w:r>
    </w:p>
    <w:p>
      <w:pPr>
        <w:jc w:val="both"/>
        <w:spacing w:after="213"/>
      </w:pPr>
      <w:r>
        <w:rPr>
          <w:rFonts w:ascii="Times New Roman" w:hAnsi="Times New Roman" w:cs="Times New Roman"/>
          <w:sz w:val="29"/>
          <w:sz-cs w:val="29"/>
          <w:b/>
          <w:spacing w:val="0"/>
        </w:rPr>
        <w:t xml:space="preserve">4.2. Obligaciones del PARTNER.</w:t>
      </w:r>
      <w:r>
        <w:rPr>
          <w:rFonts w:ascii="Times New Roman" w:hAnsi="Times New Roman" w:cs="Times New Roman"/>
          <w:sz w:val="29"/>
          <w:sz-cs w:val="29"/>
          <w:spacing w:val="0"/>
        </w:rPr>
        <w:t xml:space="preserve"/>
      </w:r>
    </w:p>
    <w:p>
      <w:pPr>
        <w:jc w:val="both"/>
        <w:ind w:left="720" w:first-line="-720"/>
        <w:spacing w:after="133"/>
      </w:pPr>
      <w:r>
        <w:rPr>
          <w:rFonts w:ascii="Times New Roman" w:hAnsi="Times New Roman" w:cs="Times New Roman"/>
          <w:sz w:val="29"/>
          <w:sz-cs w:val="29"/>
        </w:rPr>
        <w:t xml:space="preserve"/>
        <w:tab/>
        <w:t xml:space="preserve">1</w:t>
        <w:tab/>
        <w:t xml:space="preserve"/>
      </w:r>
      <w:r>
        <w:rPr>
          <w:rFonts w:ascii="Times New Roman" w:hAnsi="Times New Roman" w:cs="Times New Roman"/>
          <w:sz w:val="29"/>
          <w:sz-cs w:val="29"/>
          <w:spacing w:val="0"/>
        </w:rPr>
        <w:t xml:space="preserve">Identificarse frente a terceros y Clientes Potenciales bajo su condición de PARTNER independiente.</w:t>
      </w:r>
    </w:p>
    <w:p>
      <w:pPr>
        <w:jc w:val="both"/>
        <w:ind w:left="720" w:first-line="-720"/>
        <w:spacing w:after="133"/>
      </w:pPr>
      <w:r>
        <w:rPr>
          <w:rFonts w:ascii="Times New Roman" w:hAnsi="Times New Roman" w:cs="Times New Roman"/>
          <w:sz w:val="29"/>
          <w:sz-cs w:val="29"/>
        </w:rPr>
        <w:t xml:space="preserve"/>
        <w:tab/>
        <w:t xml:space="preserve">2</w:t>
        <w:tab/>
        <w:t xml:space="preserve"/>
      </w:r>
      <w:r>
        <w:rPr>
          <w:rFonts w:ascii="Times New Roman" w:hAnsi="Times New Roman" w:cs="Times New Roman"/>
          <w:sz w:val="29"/>
          <w:sz-cs w:val="29"/>
          <w:spacing w:val="0"/>
        </w:rPr>
        <w:t xml:space="preserve">Abstenerse de recibir dinero en efectivo, cheques o comisión alguna de los Clientes Potenciales como remuneración a las Actividades de Comercialización.</w:t>
      </w:r>
    </w:p>
    <w:p>
      <w:pPr>
        <w:jc w:val="both"/>
        <w:ind w:left="720" w:first-line="-720"/>
        <w:spacing w:after="133"/>
      </w:pPr>
      <w:r>
        <w:rPr>
          <w:rFonts w:ascii="Times New Roman" w:hAnsi="Times New Roman" w:cs="Times New Roman"/>
          <w:sz w:val="29"/>
          <w:sz-cs w:val="29"/>
        </w:rPr>
        <w:t xml:space="preserve"/>
        <w:tab/>
        <w:t xml:space="preserve">3</w:t>
        <w:tab/>
        <w:t xml:space="preserve"/>
      </w:r>
      <w:r>
        <w:rPr>
          <w:rFonts w:ascii="Times New Roman" w:hAnsi="Times New Roman" w:cs="Times New Roman"/>
          <w:sz w:val="29"/>
          <w:sz-cs w:val="29"/>
          <w:spacing w:val="0"/>
        </w:rPr>
        <w:t xml:space="preserve">Revisar la operación y características de los Clientes Potenciales, procurando que su actividad no sea ilegal ni suponga un riesgo operativo, reputacional o legal para KUSHKI.</w:t>
      </w:r>
    </w:p>
    <w:p>
      <w:pPr>
        <w:jc w:val="both"/>
        <w:ind w:left="720" w:first-line="-720"/>
        <w:spacing w:after="133"/>
      </w:pPr>
      <w:r>
        <w:rPr>
          <w:rFonts w:ascii="Times New Roman" w:hAnsi="Times New Roman" w:cs="Times New Roman"/>
          <w:sz w:val="29"/>
          <w:sz-cs w:val="29"/>
        </w:rPr>
        <w:t xml:space="preserve"/>
        <w:tab/>
        <w:t xml:space="preserve">4</w:t>
        <w:tab/>
        <w:t xml:space="preserve"/>
      </w:r>
      <w:r>
        <w:rPr>
          <w:rFonts w:ascii="Times New Roman" w:hAnsi="Times New Roman" w:cs="Times New Roman"/>
          <w:sz w:val="29"/>
          <w:sz-cs w:val="29"/>
          <w:spacing w:val="0"/>
        </w:rPr>
        <w:t xml:space="preserve">Abstenerse de ofrecer a los Clientes Potenciales una tarifa inferior a la Tarifa Base.</w:t>
      </w:r>
    </w:p>
    <w:p>
      <w:pPr>
        <w:jc w:val="both"/>
        <w:ind w:left="720" w:first-line="-720"/>
        <w:spacing w:after="133"/>
      </w:pPr>
      <w:r>
        <w:rPr>
          <w:rFonts w:ascii="Times New Roman" w:hAnsi="Times New Roman" w:cs="Times New Roman"/>
          <w:sz w:val="29"/>
          <w:sz-cs w:val="29"/>
        </w:rPr>
        <w:t xml:space="preserve"/>
        <w:tab/>
        <w:t xml:space="preserve">5</w:t>
        <w:tab/>
        <w:t xml:space="preserve"/>
      </w:r>
      <w:r>
        <w:rPr>
          <w:rFonts w:ascii="Times New Roman" w:hAnsi="Times New Roman" w:cs="Times New Roman"/>
          <w:sz w:val="29"/>
          <w:sz-cs w:val="29"/>
          <w:spacing w:val="0"/>
        </w:rPr>
        <w:t xml:space="preserve">Mantener en reserva la Información Confidencial y restituirla a la terminación del Contrato.</w:t>
      </w:r>
    </w:p>
    <w:p>
      <w:pPr>
        <w:jc w:val="both"/>
        <w:ind w:left="720" w:first-line="-720"/>
        <w:spacing w:after="133"/>
      </w:pPr>
      <w:r>
        <w:rPr>
          <w:rFonts w:ascii="Times New Roman" w:hAnsi="Times New Roman" w:cs="Times New Roman"/>
          <w:sz w:val="29"/>
          <w:sz-cs w:val="29"/>
        </w:rPr>
        <w:t xml:space="preserve"/>
        <w:tab/>
        <w:t xml:space="preserve">6</w:t>
        <w:tab/>
        <w:t xml:space="preserve"/>
      </w:r>
      <w:r>
        <w:rPr>
          <w:rFonts w:ascii="Times New Roman" w:hAnsi="Times New Roman" w:cs="Times New Roman"/>
          <w:sz w:val="29"/>
          <w:sz-cs w:val="29"/>
          <w:spacing w:val="0"/>
        </w:rPr>
        <w:t xml:space="preserve">Cumplir oportunamente las obligaciones laborales, de seguridad social y demás respecto de sus trabajadores o contratistas, reconociéndose que la relación entre las Partes es de naturaleza estrictamente mercantil, sin subordinación de ninguna índole.</w:t>
      </w:r>
    </w:p>
    <w:p>
      <w:pPr>
        <w:jc w:val="both"/>
        <w:ind w:left="720" w:first-line="-720"/>
        <w:spacing w:after="133"/>
      </w:pPr>
      <w:r>
        <w:rPr>
          <w:rFonts w:ascii="Times New Roman" w:hAnsi="Times New Roman" w:cs="Times New Roman"/>
          <w:sz w:val="29"/>
          <w:sz-cs w:val="29"/>
        </w:rPr>
        <w:t xml:space="preserve"/>
        <w:tab/>
        <w:t xml:space="preserve">7</w:t>
        <w:tab/>
        <w:t xml:space="preserve"/>
      </w:r>
      <w:r>
        <w:rPr>
          <w:rFonts w:ascii="Times New Roman" w:hAnsi="Times New Roman" w:cs="Times New Roman"/>
          <w:sz w:val="29"/>
          <w:sz-cs w:val="29"/>
          <w:spacing w:val="0"/>
        </w:rPr>
        <w:t xml:space="preserve">Abstenerse de actuar o presentarse con capacidad para obligar a KUSHKI.</w:t>
      </w:r>
    </w:p>
    <w:p>
      <w:pPr>
        <w:jc w:val="both"/>
        <w:ind w:left="720" w:first-line="-720"/>
        <w:spacing w:after="133"/>
      </w:pPr>
      <w:r>
        <w:rPr>
          <w:rFonts w:ascii="Times New Roman" w:hAnsi="Times New Roman" w:cs="Times New Roman"/>
          <w:sz w:val="29"/>
          <w:sz-cs w:val="29"/>
        </w:rPr>
        <w:t xml:space="preserve"/>
        <w:tab/>
        <w:t xml:space="preserve">8</w:t>
        <w:tab/>
        <w:t xml:space="preserve"/>
      </w:r>
      <w:r>
        <w:rPr>
          <w:rFonts w:ascii="Times New Roman" w:hAnsi="Times New Roman" w:cs="Times New Roman"/>
          <w:sz w:val="29"/>
          <w:sz-cs w:val="29"/>
          <w:spacing w:val="0"/>
        </w:rPr>
        <w:t xml:space="preserve">Abstenerse de utilizar materiales de mercadeo no proporcionados o aprobados por KUSHKI.</w:t>
      </w:r>
    </w:p>
    <w:p>
      <w:pPr>
        <w:jc w:val="both"/>
        <w:ind w:left="720" w:first-line="-720"/>
        <w:spacing w:after="133"/>
      </w:pPr>
      <w:r>
        <w:rPr>
          <w:rFonts w:ascii="Times New Roman" w:hAnsi="Times New Roman" w:cs="Times New Roman"/>
          <w:sz w:val="29"/>
          <w:sz-cs w:val="29"/>
        </w:rPr>
        <w:t xml:space="preserve"/>
        <w:tab/>
        <w:t xml:space="preserve">9</w:t>
        <w:tab/>
        <w:t xml:space="preserve"/>
      </w:r>
      <w:r>
        <w:rPr>
          <w:rFonts w:ascii="Times New Roman" w:hAnsi="Times New Roman" w:cs="Times New Roman"/>
          <w:sz w:val="29"/>
          <w:sz-cs w:val="29"/>
          <w:spacing w:val="0"/>
        </w:rPr>
        <w:t xml:space="preserve">Diligenciar la información requerida para registrar a los Clientes Potenciales en el Portal de Partners.</w:t>
      </w:r>
    </w:p>
    <w:p>
      <w:pPr>
        <w:jc w:val="both"/>
        <w:ind w:left="720" w:first-line="-720"/>
        <w:spacing w:after="133"/>
      </w:pPr>
      <w:r>
        <w:rPr>
          <w:rFonts w:ascii="Times New Roman" w:hAnsi="Times New Roman" w:cs="Times New Roman"/>
          <w:sz w:val="29"/>
          <w:sz-cs w:val="29"/>
        </w:rPr>
        <w:t xml:space="preserve"/>
        <w:tab/>
        <w:t xml:space="preserve">10</w:t>
        <w:tab/>
        <w:t xml:space="preserve"/>
      </w:r>
      <w:r>
        <w:rPr>
          <w:rFonts w:ascii="Times New Roman" w:hAnsi="Times New Roman" w:cs="Times New Roman"/>
          <w:sz w:val="29"/>
          <w:sz-cs w:val="29"/>
          <w:spacing w:val="0"/>
        </w:rPr>
        <w:t xml:space="preserve">Abstenerse de ceder, subcontratar o sublicenciar las Actividades de Comercialización sin autorización previa y por escrito de KUSHKI.</w:t>
      </w:r>
    </w:p>
    <w:p>
      <w:pPr>
        <w:jc w:val="both"/>
        <w:ind w:left="720" w:first-line="-720"/>
        <w:spacing w:after="133"/>
      </w:pPr>
      <w:r>
        <w:rPr>
          <w:rFonts w:ascii="Times New Roman" w:hAnsi="Times New Roman" w:cs="Times New Roman"/>
          <w:sz w:val="29"/>
          <w:sz-cs w:val="29"/>
        </w:rPr>
        <w:t xml:space="preserve"/>
        <w:tab/>
        <w:t xml:space="preserve">11</w:t>
        <w:tab/>
        <w:t xml:space="preserve"/>
      </w:r>
      <w:r>
        <w:rPr>
          <w:rFonts w:ascii="Times New Roman" w:hAnsi="Times New Roman" w:cs="Times New Roman"/>
          <w:sz w:val="29"/>
          <w:sz-cs w:val="29"/>
          <w:spacing w:val="0"/>
        </w:rPr>
        <w:t xml:space="preserve">Cumplir con las obligaciones fiscales y tributarias que surjan con ocasión de la ejecución del Contrato.</w:t>
      </w:r>
    </w:p>
    <w:p>
      <w:pPr>
        <w:jc w:val="both"/>
        <w:ind w:left="720" w:first-line="-720"/>
        <w:spacing w:after="133"/>
      </w:pPr>
      <w:r>
        <w:rPr>
          <w:rFonts w:ascii="Times New Roman" w:hAnsi="Times New Roman" w:cs="Times New Roman"/>
          <w:sz w:val="29"/>
          <w:sz-cs w:val="29"/>
        </w:rPr>
        <w:t xml:space="preserve"/>
        <w:tab/>
        <w:t xml:space="preserve">12</w:t>
        <w:tab/>
        <w:t xml:space="preserve"/>
      </w:r>
      <w:r>
        <w:rPr>
          <w:rFonts w:ascii="Times New Roman" w:hAnsi="Times New Roman" w:cs="Times New Roman"/>
          <w:sz w:val="29"/>
          <w:sz-cs w:val="29"/>
          <w:spacing w:val="0"/>
        </w:rPr>
        <w:t xml:space="preserve">Participar en las negociaciones y realizar las gestiones necesarias para facilitar la firma del Acuerdo de Servicios, una vez KUSHKI haya aprobado al Cliente Potencial; y suministrar la documentación requerida para los procesos de onboarding.</w:t>
      </w:r>
    </w:p>
    <w:p>
      <w:pPr>
        <w:jc w:val="both"/>
        <w:ind w:left="720" w:first-line="-720"/>
        <w:spacing w:after="133"/>
      </w:pPr>
      <w:r>
        <w:rPr>
          <w:rFonts w:ascii="Times New Roman" w:hAnsi="Times New Roman" w:cs="Times New Roman"/>
          <w:sz w:val="29"/>
          <w:sz-cs w:val="29"/>
        </w:rPr>
        <w:t xml:space="preserve"/>
        <w:tab/>
        <w:t xml:space="preserve">13</w:t>
        <w:tab/>
        <w:t xml:space="preserve"/>
      </w:r>
      <w:r>
        <w:rPr>
          <w:rFonts w:ascii="Times New Roman" w:hAnsi="Times New Roman" w:cs="Times New Roman"/>
          <w:sz w:val="29"/>
          <w:sz-cs w:val="29"/>
          <w:spacing w:val="0"/>
        </w:rPr>
        <w:t xml:space="preserve">Prestar a los Clientes el servicio de soporte de primer nivel, incluyendo la atención de consultas, el reporte de novedades, la redirección a KUSHKI de los requerimientos que excedan su alcance, y la recepción y distribución de Dispositivos cuando aplique.</w:t>
      </w:r>
    </w:p>
    <w:p>
      <w:pPr>
        <w:jc w:val="both"/>
        <w:ind w:left="720" w:first-line="-720"/>
        <w:spacing w:after="133"/>
      </w:pPr>
      <w:r>
        <w:rPr>
          <w:rFonts w:ascii="Times New Roman" w:hAnsi="Times New Roman" w:cs="Times New Roman"/>
          <w:sz w:val="29"/>
          <w:sz-cs w:val="29"/>
        </w:rPr>
        <w:t xml:space="preserve"/>
        <w:tab/>
        <w:t xml:space="preserve">14</w:t>
        <w:tab/>
        <w:t xml:space="preserve"/>
      </w:r>
      <w:r>
        <w:rPr>
          <w:rFonts w:ascii="Times New Roman" w:hAnsi="Times New Roman" w:cs="Times New Roman"/>
          <w:sz w:val="29"/>
          <w:sz-cs w:val="29"/>
          <w:spacing w:val="0"/>
        </w:rPr>
        <w:t xml:space="preserve">Registrar en el Portal de Partners un flujo de nuevos Clientes Potenciales, conforme a la Cláusula 4.3.</w:t>
      </w:r>
    </w:p>
    <w:p>
      <w:pPr>
        <w:jc w:val="both"/>
        <w:spacing w:after="213"/>
      </w:pPr>
      <w:r>
        <w:rPr>
          <w:rFonts w:ascii="Times New Roman" w:hAnsi="Times New Roman" w:cs="Times New Roman"/>
          <w:sz w:val="29"/>
          <w:sz-cs w:val="29"/>
          <w:b/>
          <w:spacing w:val="0"/>
        </w:rPr>
        <w:t xml:space="preserve">4.3. Actividad mínima.</w:t>
      </w:r>
      <w:r>
        <w:rPr>
          <w:rFonts w:ascii="Times New Roman" w:hAnsi="Times New Roman" w:cs="Times New Roman"/>
          <w:sz w:val="29"/>
          <w:sz-cs w:val="29"/>
          <w:spacing w:val="0"/>
        </w:rPr>
        <w:t xml:space="preserve"> En caso de que transcurran 4 (cuatro) meses calendario continuos sin que el PARTNER registre nuevos Clientes Potenciales en el Portal de Partners, KUSHKI lo notificará por escrito y el PARTNER dispondrá de un periodo de subsanación de 60 (sesenta) días naturales para reactivar su gestión comercial. Únicamente si, vencido dicho periodo, persiste la inactividad total de registro, se configurará un incumplimiento susceptible del procedimiento de la Cláusula Octava. Para todos los efectos, la obligación de actividad mínima se mide por el </w:t>
      </w:r>
      <w:r>
        <w:rPr>
          <w:rFonts w:ascii="Times New Roman" w:hAnsi="Times New Roman" w:cs="Times New Roman"/>
          <w:sz w:val="29"/>
          <w:sz-cs w:val="29"/>
          <w:u w:val="single"/>
          <w:spacing w:val="0"/>
        </w:rPr>
        <w:t xml:space="preserve">registro</w:t>
      </w:r>
      <w:r>
        <w:rPr>
          <w:rFonts w:ascii="Times New Roman" w:hAnsi="Times New Roman" w:cs="Times New Roman"/>
          <w:sz w:val="29"/>
          <w:sz-cs w:val="29"/>
          <w:spacing w:val="0"/>
        </w:rPr>
        <w:t xml:space="preserve"> de Clientes Potenciales y no por su conversión en Clientes.</w:t>
      </w:r>
    </w:p>
    <w:p>
      <w:pPr>
        <w:jc w:val="both"/>
        <w:spacing w:after="213"/>
      </w:pPr>
      <w:r>
        <w:rPr>
          <w:rFonts w:ascii="Times New Roman" w:hAnsi="Times New Roman" w:cs="Times New Roman"/>
          <w:sz w:val="29"/>
          <w:sz-cs w:val="29"/>
          <w:b/>
          <w:spacing w:val="0"/>
        </w:rPr>
        <w:t xml:space="preserve">4.4. Plataforma Tecnológica.</w:t>
      </w:r>
      <w:r>
        <w:rPr>
          <w:rFonts w:ascii="Times New Roman" w:hAnsi="Times New Roman" w:cs="Times New Roman"/>
          <w:sz w:val="29"/>
          <w:sz-cs w:val="29"/>
          <w:spacing w:val="0"/>
        </w:rPr>
        <w:t xml:space="preserve"> El PARTNER se obliga a: (i) integrar y mantener integrada su Plataforma Tecnológica con la de KUSHKI conforme a los estándares informados; (ii) prestar el soporte de integración, implementación y configuración a los Clientes y a KUSHKI; (iii) proveer la documentación y soportes que KUSHKI requiera para verificar el cumplimiento de los lineamientos de seguridad; (iv) mantener su Plataforma Tecnológica con una disponibilidad mensual no inferior al </w:t>
      </w:r>
      <w:r>
        <w:rPr>
          <w:rFonts w:ascii="Times New Roman" w:hAnsi="Times New Roman" w:cs="Times New Roman"/>
          <w:sz w:val="29"/>
          <w:sz-cs w:val="29"/>
          <w:b/>
          <w:spacing w:val="0"/>
        </w:rPr>
        <w:t xml:space="preserve">99.5%</w:t>
      </w:r>
      <w:r>
        <w:rPr>
          <w:rFonts w:ascii="Times New Roman" w:hAnsi="Times New Roman" w:cs="Times New Roman"/>
          <w:sz w:val="29"/>
          <w:sz-cs w:val="29"/>
          <w:spacing w:val="0"/>
        </w:rPr>
        <w:t xml:space="preserve">, excluyendo del cómputo (a) las ventanas de mantenimiento programado notificadas con al menos 48 horas de antelación, (b) las indisponibilidades atribuibles a terceros, a proveedores de KUSHKI o a los Participantes, y (c) los eventos de fuerza mayor o caso fortuito; (v) cumplir las regulaciones aplicables y el estándar PCI-DSS respecto del almacenamiento y transmisión de Datos de Pago; (vi) integrar únicamente métodos de pago y herramientas antifraude certificados por KUSHKI; e (vii) informar oportunamente los mantenimientos o cambios que puedan afectar la prestación de los Productos y Servicios.</w:t>
      </w:r>
    </w:p>
    <w:p>
      <w:pPr>
        <w:jc w:val="both"/>
        <w:spacing w:after="213"/>
      </w:pPr>
      <w:r>
        <w:rPr>
          <w:rFonts w:ascii="Times New Roman" w:hAnsi="Times New Roman" w:cs="Times New Roman"/>
          <w:sz w:val="29"/>
          <w:sz-cs w:val="29"/>
          <w:b/>
          <w:spacing w:val="0"/>
        </w:rPr>
        <w:t xml:space="preserve">4.5. Auditoría.</w:t>
      </w:r>
      <w:r>
        <w:rPr>
          <w:rFonts w:ascii="Times New Roman" w:hAnsi="Times New Roman" w:cs="Times New Roman"/>
          <w:sz w:val="29"/>
          <w:sz-cs w:val="29"/>
          <w:spacing w:val="0"/>
        </w:rPr>
        <w:t xml:space="preserve"> KUSHKI podrá auditar, directamente o a través de un tercero sujeto a confidencialidad, los aspectos técnicos y de seguridad de la Plataforma Tecnológica, previa notificación con al menos 30 (treinta) días naturales de antelación. El alcance de la auditoría se circunscribirá a los sistemas y procesos directamente vinculados con la prestación de los Productos y Servicios de KUSHKI, preservándose la confidencialidad de la información del PARTNER no relacionada. Identificado un hallazgo, el PARTNER responderá en 15 (quince) días naturales indicando las medidas correctivas, y subsanará los hallazgos calificados de común acuerdo como críticos en un plazo razonable no menor a 30 (treinta) días naturales.</w:t>
      </w:r>
    </w:p>
    <w:p>
      <w:pPr>
        <w:jc w:val="both"/>
        <w:spacing w:after="160"/>
      </w:pPr>
      <w:r>
        <w:rPr>
          <w:rFonts w:ascii="Times New Roman" w:hAnsi="Times New Roman" w:cs="Times New Roman"/>
          <w:sz w:val="32"/>
          <w:sz-cs w:val="32"/>
          <w:b/>
          <w:spacing w:val="0"/>
        </w:rPr>
        <w:t xml:space="preserve">SECCIÓN IV: CONTRAPRESTACIÓN</w:t>
      </w:r>
    </w:p>
    <w:p>
      <w:pPr>
        <w:jc w:val="both"/>
        <w:spacing w:after="106"/>
      </w:pPr>
      <w:r>
        <w:rPr>
          <w:rFonts w:ascii="Times New Roman" w:hAnsi="Times New Roman" w:cs="Times New Roman"/>
          <w:sz w:val="29"/>
          <w:sz-cs w:val="29"/>
          <w:b/>
          <w:spacing w:val="0"/>
        </w:rPr>
        <w:t xml:space="preserve">Quinta. — Comisión a favor del PARTNER.</w:t>
      </w:r>
    </w:p>
    <w:p>
      <w:pPr>
        <w:jc w:val="both"/>
        <w:spacing w:after="213"/>
      </w:pPr>
      <w:r>
        <w:rPr>
          <w:rFonts w:ascii="Times New Roman" w:hAnsi="Times New Roman" w:cs="Times New Roman"/>
          <w:sz w:val="29"/>
          <w:sz-cs w:val="29"/>
          <w:spacing w:val="0"/>
        </w:rPr>
        <w:t xml:space="preserve">5.1. KUSHKI pagará al PARTNER, a título de Comisión, un porcentaje del Residual liquidado a partir del Monto TPV Mensual de los Clientes que hayan firmado un Acuerdo de Servicios como resultado directo de las Actividades de Comercialización del PARTNER, siempre que estén generando ingresos para KUSHKI, conforme a la siguiente fórmula aplicable al Solution Partner integrado tecnológicamente:</w:t>
      </w:r>
    </w:p>
    <w:p>
      <w:pPr>
        <w:jc w:val="center"/>
        <w:spacing w:after="213"/>
      </w:pPr>
      <w:r>
        <w:rPr>
          <w:rFonts w:ascii="Times New Roman" w:hAnsi="Times New Roman" w:cs="Times New Roman"/>
          <w:sz w:val="29"/>
          <w:sz-cs w:val="29"/>
          <w:b/>
          <w:spacing w:val="0"/>
        </w:rPr>
        <w:t xml:space="preserve">Comisión = 50% × [(Monto TPV Mensual × Tarifa Final) − (Monto TPV Mensual × Tarifa Base)]</w:t>
      </w:r>
      <w:r>
        <w:rPr>
          <w:rFonts w:ascii="Times New Roman" w:hAnsi="Times New Roman" w:cs="Times New Roman"/>
          <w:sz w:val="29"/>
          <w:sz-cs w:val="29"/>
          <w:spacing w:val="0"/>
        </w:rPr>
        <w:t xml:space="preserve"/>
      </w:r>
    </w:p>
    <w:p>
      <w:pPr>
        <w:jc w:val="both"/>
        <w:spacing w:after="213"/>
      </w:pPr>
      <w:r>
        <w:rPr>
          <w:rFonts w:ascii="Times New Roman" w:hAnsi="Times New Roman" w:cs="Times New Roman"/>
          <w:sz w:val="29"/>
          <w:sz-cs w:val="29"/>
          <w:spacing w:val="0"/>
        </w:rPr>
        <w:t xml:space="preserve">El Residual sólo aplicará a las transacciones exitosas cursadas a través de la Plataforma Tecnológica. Se descontará del Monto TPV Mensual cualquier Pasivo del Cliente.</w:t>
      </w:r>
    </w:p>
    <w:p>
      <w:pPr>
        <w:jc w:val="both"/>
        <w:spacing w:after="213"/>
      </w:pPr>
      <w:r>
        <w:rPr>
          <w:rFonts w:ascii="Times New Roman" w:hAnsi="Times New Roman" w:cs="Times New Roman"/>
          <w:sz w:val="29"/>
          <w:sz-cs w:val="29"/>
          <w:spacing w:val="0"/>
        </w:rPr>
        <w:t xml:space="preserve">5.2. </w:t>
      </w:r>
      <w:r>
        <w:rPr>
          <w:rFonts w:ascii="Times New Roman" w:hAnsi="Times New Roman" w:cs="Times New Roman"/>
          <w:sz w:val="29"/>
          <w:sz-cs w:val="29"/>
          <w:u w:val="single"/>
          <w:spacing w:val="0"/>
        </w:rPr>
        <w:t xml:space="preserve">Productos o servicios adicionales.</w:t>
      </w:r>
      <w:r>
        <w:rPr>
          <w:rFonts w:ascii="Times New Roman" w:hAnsi="Times New Roman" w:cs="Times New Roman"/>
          <w:sz w:val="29"/>
          <w:sz-cs w:val="29"/>
          <w:spacing w:val="0"/>
        </w:rPr>
        <w:t xml:space="preserve"> Respecto de Productos y Servicios adicionales a los del Acuerdo de Servicios inicial, KUSHKI ofrecerá primero al PARTNER, por escrito, la gestión de su comercialización sobre los Clientes por él presentados (derecho de preferencia). El PARTNER dispondrá de 10 (diez) días hábiles para manifestar su intención de gestionarla; sólo si no responde en dicho plazo, o si el Producto o Servicio excede objetivamente sus capacidades (p. ej., integraciones no disponibles o países donde no opera), KUSHKI podrá comercializarlo directamente, en cuyo caso no se causará Comisión a favor del PARTNER por dicho Producto o Servicio.</w:t>
      </w:r>
    </w:p>
    <w:p>
      <w:pPr>
        <w:jc w:val="both"/>
        <w:spacing w:after="213"/>
      </w:pPr>
      <w:r>
        <w:rPr>
          <w:rFonts w:ascii="Times New Roman" w:hAnsi="Times New Roman" w:cs="Times New Roman"/>
          <w:sz w:val="29"/>
          <w:sz-cs w:val="29"/>
          <w:spacing w:val="0"/>
        </w:rPr>
        <w:t xml:space="preserve">5.3. </w:t>
      </w:r>
      <w:r>
        <w:rPr>
          <w:rFonts w:ascii="Times New Roman" w:hAnsi="Times New Roman" w:cs="Times New Roman"/>
          <w:sz w:val="29"/>
          <w:sz-cs w:val="29"/>
          <w:u w:val="single"/>
          <w:spacing w:val="0"/>
        </w:rPr>
        <w:t xml:space="preserve">Reconocimiento de Dispositivos.</w:t>
      </w:r>
      <w:r>
        <w:rPr>
          <w:rFonts w:ascii="Times New Roman" w:hAnsi="Times New Roman" w:cs="Times New Roman"/>
          <w:sz w:val="29"/>
          <w:sz-cs w:val="29"/>
          <w:spacing w:val="0"/>
        </w:rPr>
        <w:t xml:space="preserve"> La Comisión se calculará sobre las transacciones iniciadas en los Dispositivos asociados al PARTNER. La desasociación de un Cliente o de sus Dispositivos respecto del PARTNER procederá únicamente por causas objetivas, previa notificación al PARTNER con una antelación no menor a 15 (quince) días y otorgándole la oportunidad de pronunciarse; salvo solicitud expresa y escrita del propio Cliente, en cuyo caso se le informará al PARTNER de manera inmediata.</w:t>
      </w:r>
    </w:p>
    <w:p>
      <w:pPr>
        <w:jc w:val="both"/>
        <w:spacing w:after="106"/>
      </w:pPr>
      <w:r>
        <w:rPr>
          <w:rFonts w:ascii="Times New Roman" w:hAnsi="Times New Roman" w:cs="Times New Roman"/>
          <w:sz w:val="29"/>
          <w:sz-cs w:val="29"/>
          <w:b/>
          <w:spacing w:val="0"/>
        </w:rPr>
        <w:t xml:space="preserve">Sexta. — Pago de la Comisión.</w:t>
      </w:r>
    </w:p>
    <w:p>
      <w:pPr>
        <w:jc w:val="both"/>
        <w:spacing w:after="213"/>
      </w:pPr>
      <w:r>
        <w:rPr>
          <w:rFonts w:ascii="Times New Roman" w:hAnsi="Times New Roman" w:cs="Times New Roman"/>
          <w:sz w:val="29"/>
          <w:sz-cs w:val="29"/>
          <w:spacing w:val="0"/>
        </w:rPr>
        <w:t xml:space="preserve">6.1. KUSHKI enviará, dentro de los primeros 10 (diez) días hábiles de cada mes, un reporte detallado de las Comisiones del mes anterior, discriminado por Cliente y por transacción, que permita su conciliación. El PARTNER emitirá la factura correspondiente dentro de los plazos definidos. El PARTNER dispondrá de 30 (treinta) días calendario desde la recepción del reporte para formular observaciones; vencido dicho plazo sin objeción se entenderán aceptadas las cifras, sin perjuicio de la corrección de errores manifiestos, que podrá solicitarse en cualquier tiempo.</w:t>
      </w:r>
    </w:p>
    <w:p>
      <w:pPr>
        <w:jc w:val="both"/>
        <w:spacing w:after="213"/>
      </w:pPr>
      <w:r>
        <w:rPr>
          <w:rFonts w:ascii="Times New Roman" w:hAnsi="Times New Roman" w:cs="Times New Roman"/>
          <w:sz w:val="29"/>
          <w:sz-cs w:val="29"/>
          <w:spacing w:val="0"/>
        </w:rPr>
        <w:t xml:space="preserve">6.2. La Comisión se pagará en función de la contraprestación efectivamente recibida por KUSHKI del Cliente. Si KUSHKI no recibe el pago total del Cliente, no estará obligada a pagar la Comisión correspondiente hasta recibirlo; KUSHKI reflejará dicha situación en el reporte mensual de manera trazable.</w:t>
      </w:r>
    </w:p>
    <w:p>
      <w:pPr>
        <w:jc w:val="both"/>
        <w:spacing w:after="213"/>
      </w:pPr>
      <w:r>
        <w:rPr>
          <w:rFonts w:ascii="Times New Roman" w:hAnsi="Times New Roman" w:cs="Times New Roman"/>
          <w:sz w:val="29"/>
          <w:sz-cs w:val="29"/>
          <w:spacing w:val="0"/>
        </w:rPr>
        <w:t xml:space="preserve">6.3. </w:t>
      </w:r>
      <w:r>
        <w:rPr>
          <w:rFonts w:ascii="Times New Roman" w:hAnsi="Times New Roman" w:cs="Times New Roman"/>
          <w:sz w:val="29"/>
          <w:sz-cs w:val="29"/>
          <w:u w:val="single"/>
          <w:spacing w:val="0"/>
        </w:rPr>
        <w:t xml:space="preserve">Comisión de cola.</w:t>
      </w:r>
      <w:r>
        <w:rPr>
          <w:rFonts w:ascii="Times New Roman" w:hAnsi="Times New Roman" w:cs="Times New Roman"/>
          <w:sz w:val="29"/>
          <w:sz-cs w:val="29"/>
          <w:spacing w:val="0"/>
        </w:rPr>
        <w:t xml:space="preserve"> En caso de terminación del Contrato </w:t>
      </w:r>
      <w:r>
        <w:rPr>
          <w:rFonts w:ascii="Times New Roman" w:hAnsi="Times New Roman" w:cs="Times New Roman"/>
          <w:sz w:val="29"/>
          <w:sz-cs w:val="29"/>
          <w:b/>
          <w:spacing w:val="0"/>
        </w:rPr>
        <w:t xml:space="preserve">sin justa causa imputable al PARTNER</w:t>
      </w:r>
      <w:r>
        <w:rPr>
          <w:rFonts w:ascii="Times New Roman" w:hAnsi="Times New Roman" w:cs="Times New Roman"/>
          <w:sz w:val="29"/>
          <w:sz-cs w:val="29"/>
          <w:spacing w:val="0"/>
        </w:rPr>
        <w:t xml:space="preserve"> —incluida la terminación por conveniencia de la Cláusula Séptima y la cesión o transferencia de la Cláusula Décima Novena— KUSHKI continuará liquidando y pagando al PARTNER la Comisión correspondiente a los Clientes por él presentados, en los mismos términos y porcentajes pactados, mientras los respectivos Acuerdos de Servicios permanezcan vigentes y generando ingresos para KUSHKI. Esta obligación sobrevivirá a la terminación del Contrato.</w:t>
      </w:r>
    </w:p>
    <w:p>
      <w:pPr>
        <w:jc w:val="both"/>
        <w:spacing w:after="213"/>
      </w:pPr>
      <w:r>
        <w:rPr>
          <w:rFonts w:ascii="Times New Roman" w:hAnsi="Times New Roman" w:cs="Times New Roman"/>
          <w:sz w:val="29"/>
          <w:sz-cs w:val="29"/>
          <w:spacing w:val="0"/>
        </w:rPr>
        <w:t xml:space="preserve">6.4. En caso de terminación del Contrato por incumplimiento del PARTNER, cesará la causación de Comisiones hacia el futuro. No obstante, KUSHKI pagará las Comisiones efectivamente causadas con anterioridad a la fecha efectiva de terminación que se encontraren pendientes de pago, sin que su no pago pueda pactarse a título de pena.</w:t>
      </w:r>
    </w:p>
    <w:p>
      <w:pPr>
        <w:jc w:val="both"/>
        <w:spacing w:after="213"/>
      </w:pPr>
      <w:r>
        <w:rPr>
          <w:rFonts w:ascii="Times New Roman" w:hAnsi="Times New Roman" w:cs="Times New Roman"/>
          <w:sz w:val="29"/>
          <w:sz-cs w:val="29"/>
          <w:spacing w:val="0"/>
        </w:rPr>
        <w:t xml:space="preserve">6.5. En caso de terminación anticipada de un Acuerdo de Servicios, KUSHKI no responderá frente al PARTNER por la Comisión que éste hubiere proyectado respecto de la vigencia inicialmente prevista, sin perjuicio de la Comisión efectivamente causada hasta esa fecha.</w:t>
      </w:r>
    </w:p>
    <w:p>
      <w:pPr>
        <w:jc w:val="both"/>
        <w:spacing w:after="213"/>
      </w:pPr>
      <w:r>
        <w:rPr>
          <w:rFonts w:ascii="Times New Roman" w:hAnsi="Times New Roman" w:cs="Times New Roman"/>
          <w:sz w:val="29"/>
          <w:sz-cs w:val="29"/>
          <w:spacing w:val="0"/>
        </w:rPr>
        <w:t xml:space="preserve">6.6. Cada Parte será responsable de sus propios impuestos. Los pagos se efectuarán sin deducción ni retención, salvo las exigidas por la ley aplicable. El PARTNER informará por escrito la cuenta y demás instrucciones de pago. En caso de transferencias al extranjero, el PARTNER asumirá el riesgo de cambio y los costos de la transacción, e KUSHKI le informará el tipo de cambio aplicable y remitirá los soportes de la operación.</w:t>
      </w:r>
    </w:p>
    <w:p>
      <w:pPr>
        <w:jc w:val="both"/>
        <w:spacing w:after="213"/>
      </w:pPr>
      <w:r>
        <w:rPr>
          <w:rFonts w:ascii="Times New Roman" w:hAnsi="Times New Roman" w:cs="Times New Roman"/>
          <w:sz w:val="29"/>
          <w:sz-cs w:val="29"/>
          <w:spacing w:val="0"/>
        </w:rPr>
        <w:t xml:space="preserve">6.7. </w:t>
      </w:r>
      <w:r>
        <w:rPr>
          <w:rFonts w:ascii="Times New Roman" w:hAnsi="Times New Roman" w:cs="Times New Roman"/>
          <w:sz w:val="29"/>
          <w:sz-cs w:val="29"/>
          <w:u w:val="single"/>
          <w:spacing w:val="0"/>
        </w:rPr>
        <w:t xml:space="preserve">Meses Sin Intereses y pagos a plazos.</w:t>
      </w:r>
      <w:r>
        <w:rPr>
          <w:rFonts w:ascii="Times New Roman" w:hAnsi="Times New Roman" w:cs="Times New Roman"/>
          <w:sz w:val="29"/>
          <w:sz-cs w:val="29"/>
          <w:spacing w:val="0"/>
        </w:rPr>
        <w:t xml:space="preserve"> La Comisión aplicable a los Productos o Servicios ofrecidos bajo esquemas de pago a plazos sin intereses (p. ej., "Meses Sin Intereses" o "Cuotas Comercio") se regulará en el Anexo No. 3, que las Partes negociarán de buena fe a la firma del presente Contrato.</w:t>
      </w:r>
    </w:p>
    <w:p>
      <w:pPr>
        <w:jc w:val="both"/>
        <w:spacing w:after="160"/>
      </w:pPr>
      <w:r>
        <w:rPr>
          <w:rFonts w:ascii="Times New Roman" w:hAnsi="Times New Roman" w:cs="Times New Roman"/>
          <w:sz w:val="32"/>
          <w:sz-cs w:val="32"/>
          <w:b/>
          <w:spacing w:val="0"/>
        </w:rPr>
        <w:t xml:space="preserve">SECCIÓN V: VIGENCIA, INCUMPLIMIENTO Y RESPONSABILIDADES</w:t>
      </w:r>
    </w:p>
    <w:p>
      <w:pPr>
        <w:jc w:val="both"/>
        <w:spacing w:after="106"/>
      </w:pPr>
      <w:r>
        <w:rPr>
          <w:rFonts w:ascii="Times New Roman" w:hAnsi="Times New Roman" w:cs="Times New Roman"/>
          <w:sz w:val="29"/>
          <w:sz-cs w:val="29"/>
          <w:b/>
          <w:spacing w:val="0"/>
        </w:rPr>
        <w:t xml:space="preserve">Séptima. — Vigencia.</w:t>
      </w:r>
    </w:p>
    <w:p>
      <w:pPr>
        <w:jc w:val="both"/>
        <w:spacing w:after="213"/>
      </w:pPr>
      <w:r>
        <w:rPr>
          <w:rFonts w:ascii="Times New Roman" w:hAnsi="Times New Roman" w:cs="Times New Roman"/>
          <w:sz w:val="29"/>
          <w:sz-cs w:val="29"/>
          <w:spacing w:val="0"/>
        </w:rPr>
        <w:t xml:space="preserve">El Contrato tendrá una vigencia inicial de 2 (dos) años contados desde su firma, con renovaciones automáticas sucesivas de 1 (un) año, salvo que una Parte notifique a la otra, por escrito y con al menos 30 (treinta) días de antelación al vencimiento, su decisión de no renovarlo. Cualquiera de las Partes podrá terminar el Contrato por conveniencia, en cualquier momento, mediante notificación escrita con una antelación mínima de 30 (treinta) días calendario, sin que ello implique sanción o indemnización a favor de la otra Parte, y sin perjuicio de la Comisión de cola prevista en la Cláusula 6.3.</w:t>
      </w:r>
    </w:p>
    <w:p>
      <w:pPr>
        <w:jc w:val="both"/>
        <w:spacing w:after="106"/>
      </w:pPr>
      <w:r>
        <w:rPr>
          <w:rFonts w:ascii="Times New Roman" w:hAnsi="Times New Roman" w:cs="Times New Roman"/>
          <w:sz w:val="29"/>
          <w:sz-cs w:val="29"/>
          <w:b/>
          <w:spacing w:val="0"/>
        </w:rPr>
        <w:t xml:space="preserve">Octava. — Incumplimiento.</w:t>
      </w:r>
    </w:p>
    <w:p>
      <w:pPr>
        <w:jc w:val="both"/>
        <w:spacing w:after="213"/>
      </w:pPr>
      <w:r>
        <w:rPr>
          <w:rFonts w:ascii="Times New Roman" w:hAnsi="Times New Roman" w:cs="Times New Roman"/>
          <w:sz w:val="29"/>
          <w:sz-cs w:val="29"/>
          <w:spacing w:val="0"/>
        </w:rPr>
        <w:t xml:space="preserve">Ante el incumplimiento de cualquier obligación, la Parte cumplida podrá requerir su subsanación en un plazo no menor a 15 (quince) días naturales contados desde el recibo del aviso; tratándose de incumplimientos de naturaleza técnica o que requieran desarrollo, dicho plazo no será inferior a 30 (treinta) días naturales. Si vencido el plazo el incumplimiento subsiste, la Parte cumplida podrá resolver el Contrato, sin necesidad de declaración judicial, siendo la Parte infractora responsable de los daños directos que cause. Las Partes podrán resolver el Contrato de inmediato si la otra deja de existir jurídicamente, o es declarada en insolvencia o quiebra y la situación no se regulariza en 30 (treinta) días.</w:t>
      </w:r>
    </w:p>
    <w:p>
      <w:pPr>
        <w:jc w:val="both"/>
        <w:spacing w:after="106"/>
      </w:pPr>
      <w:r>
        <w:rPr>
          <w:rFonts w:ascii="Times New Roman" w:hAnsi="Times New Roman" w:cs="Times New Roman"/>
          <w:sz w:val="29"/>
          <w:sz-cs w:val="29"/>
          <w:b/>
          <w:spacing w:val="0"/>
        </w:rPr>
        <w:t xml:space="preserve">Novena. — Suspensión por riesgo operacional o de seguridad.</w:t>
      </w:r>
    </w:p>
    <w:p>
      <w:pPr>
        <w:jc w:val="both"/>
        <w:spacing w:after="213"/>
      </w:pPr>
      <w:r>
        <w:rPr>
          <w:rFonts w:ascii="Times New Roman" w:hAnsi="Times New Roman" w:cs="Times New Roman"/>
          <w:sz w:val="29"/>
          <w:sz-cs w:val="29"/>
          <w:spacing w:val="0"/>
        </w:rPr>
        <w:t xml:space="preserve">KUSHKI podrá suspender, total o parcialmente, la integración tecnológica o las funcionalidades operadas por el PARTNER ante (i) sospecha razonable y motivada de fraude o vulneración de la seguridad de la información, (ii) un incidente operativo que afecte la continuidad de los Productos y Servicios, o (iii) un incumplimiento grave a los estándares de seguridad o disponibilidad. Toda suspensión será precedida de notificación al PARTNER —salvo riesgo inminente que exija acción inmediata, en cuyo caso la notificación será simultánea o inmediatamente posterior— y otorgará un plazo razonable de subsanación. La suspensión se circunscribirá a los Clientes o transacciones efectivamente afectados, sin extenderse a la totalidad de la cartera. Las Comisiones correspondientes a transacciones no afectadas continuarán pagándose con normalidad, y las correspondientes a transacciones legítimas que hubieren quedado suspendidas se acumularán y pagarán una vez verificada la mitigación del riesgo que originó la suspensión.</w:t>
      </w:r>
    </w:p>
    <w:p>
      <w:pPr>
        <w:jc w:val="both"/>
        <w:spacing w:after="106"/>
      </w:pPr>
      <w:r>
        <w:rPr>
          <w:rFonts w:ascii="Times New Roman" w:hAnsi="Times New Roman" w:cs="Times New Roman"/>
          <w:sz w:val="29"/>
          <w:sz-cs w:val="29"/>
          <w:b/>
          <w:spacing w:val="0"/>
        </w:rPr>
        <w:t xml:space="preserve">Décima. — Responsabilidad.</w:t>
      </w:r>
    </w:p>
    <w:p>
      <w:pPr>
        <w:jc w:val="both"/>
        <w:spacing w:after="213"/>
      </w:pPr>
      <w:r>
        <w:rPr>
          <w:rFonts w:ascii="Times New Roman" w:hAnsi="Times New Roman" w:cs="Times New Roman"/>
          <w:sz w:val="29"/>
          <w:sz-cs w:val="29"/>
          <w:spacing w:val="0"/>
        </w:rPr>
        <w:t xml:space="preserve">10.1. Es responsabilidad exclusiva de KUSHKI la prestación de los Productos y Servicios. Son de responsabilidad exclusiva del PARTNER la ejecución y el resultado de las Actividades de Comercialización, de la integración de la Plataforma Tecnológica y de los servicios que ofrezca a los Clientes.</w:t>
      </w:r>
    </w:p>
    <w:p>
      <w:pPr>
        <w:jc w:val="both"/>
        <w:spacing w:after="213"/>
      </w:pPr>
      <w:r>
        <w:rPr>
          <w:rFonts w:ascii="Times New Roman" w:hAnsi="Times New Roman" w:cs="Times New Roman"/>
          <w:sz w:val="29"/>
          <w:sz-cs w:val="29"/>
          <w:spacing w:val="0"/>
        </w:rPr>
        <w:t xml:space="preserve">10.2. </w:t>
      </w:r>
      <w:r>
        <w:rPr>
          <w:rFonts w:ascii="Times New Roman" w:hAnsi="Times New Roman" w:cs="Times New Roman"/>
          <w:sz w:val="29"/>
          <w:sz-cs w:val="29"/>
          <w:u w:val="single"/>
          <w:spacing w:val="0"/>
        </w:rPr>
        <w:t xml:space="preserve">Pasivos del Cliente.</w:t>
      </w:r>
      <w:r>
        <w:rPr>
          <w:rFonts w:ascii="Times New Roman" w:hAnsi="Times New Roman" w:cs="Times New Roman"/>
          <w:sz w:val="29"/>
          <w:sz-cs w:val="29"/>
          <w:spacing w:val="0"/>
        </w:rPr>
        <w:t xml:space="preserve"> El PARTNER responderá frente a KUSHKI por los Pasivos del Cliente únicamente cuando deriven, de forma directa y probada, de (i) su dolo o culpa grave, (ii) la provisión de información falsa, incompleta o engañosa por su parte, o (iii) el uso indebido de las soluciones de KUSHKI o de los procesos de afiliación y KYC bajo su gestión. Quedan expresamente excluidos de la responsabilidad del PARTNER los Pasivos originados en los sistemas o la operación de KUSHKI o de los Participantes, así como las conductas fraudulentas del Cliente que el PARTNER no estuviere razonablemente en capacidad de detectar.</w:t>
      </w:r>
    </w:p>
    <w:p>
      <w:pPr>
        <w:jc w:val="both"/>
        <w:spacing w:after="213"/>
      </w:pPr>
      <w:r>
        <w:rPr>
          <w:rFonts w:ascii="Times New Roman" w:hAnsi="Times New Roman" w:cs="Times New Roman"/>
          <w:sz w:val="29"/>
          <w:sz-cs w:val="29"/>
          <w:spacing w:val="0"/>
        </w:rPr>
        <w:t xml:space="preserve">10.3. </w:t>
      </w:r>
      <w:r>
        <w:rPr>
          <w:rFonts w:ascii="Times New Roman" w:hAnsi="Times New Roman" w:cs="Times New Roman"/>
          <w:sz w:val="29"/>
          <w:sz-cs w:val="29"/>
          <w:u w:val="single"/>
          <w:spacing w:val="0"/>
        </w:rPr>
        <w:t xml:space="preserve">Indemnidad.</w:t>
      </w:r>
      <w:r>
        <w:rPr>
          <w:rFonts w:ascii="Times New Roman" w:hAnsi="Times New Roman" w:cs="Times New Roman"/>
          <w:sz w:val="29"/>
          <w:sz-cs w:val="29"/>
          <w:spacing w:val="0"/>
        </w:rPr>
        <w:t xml:space="preserve"> Cada Parte mantendrá indemne a la otra frente a las reclamaciones de terceros que deriven de (i) el incumplimiento de sus declaraciones, (ii) su dolo, culpa grave, negligencia o mala conducta, (iii) su incumplimiento de la ley aplicable, o (iv) la infracción de derechos de propiedad intelectual de terceros que le sea imputable.</w:t>
      </w:r>
    </w:p>
    <w:p>
      <w:pPr>
        <w:jc w:val="both"/>
        <w:spacing w:after="213"/>
      </w:pPr>
      <w:r>
        <w:rPr>
          <w:rFonts w:ascii="Times New Roman" w:hAnsi="Times New Roman" w:cs="Times New Roman"/>
          <w:sz w:val="29"/>
          <w:sz-cs w:val="29"/>
          <w:spacing w:val="0"/>
        </w:rPr>
        <w:t xml:space="preserve">10.4. </w:t>
      </w:r>
      <w:r>
        <w:rPr>
          <w:rFonts w:ascii="Times New Roman" w:hAnsi="Times New Roman" w:cs="Times New Roman"/>
          <w:sz w:val="29"/>
          <w:sz-cs w:val="29"/>
          <w:u w:val="single"/>
          <w:spacing w:val="0"/>
        </w:rPr>
        <w:t xml:space="preserve">Limitación de responsabilidad.</w:t>
      </w:r>
      <w:r>
        <w:rPr>
          <w:rFonts w:ascii="Times New Roman" w:hAnsi="Times New Roman" w:cs="Times New Roman"/>
          <w:sz w:val="29"/>
          <w:sz-cs w:val="29"/>
          <w:spacing w:val="0"/>
        </w:rPr>
        <w:t xml:space="preserve"> La responsabilidad de cada Parte bajo el Contrato se limitará a los daños directos y, en cualquier caso, no excederá el importe acumulado de las Comisiones causadas durante los 6 (seis) meses inmediatamente anteriores al evento que origine la responsabilidad. Esta limitación no aplicará respecto de actos u omisiones dolosos o de culpa grave, ni de las obligaciones de confidencialidad o de pago de Comisiones ya causadas. En ningún caso una Parte responderá frente a la otra por lucro cesante o por daños indirectos, punitivos, incidentales o consecuenciales.</w:t>
      </w:r>
    </w:p>
    <w:p>
      <w:pPr>
        <w:jc w:val="both"/>
        <w:spacing w:after="160"/>
      </w:pPr>
      <w:r>
        <w:rPr>
          <w:rFonts w:ascii="Times New Roman" w:hAnsi="Times New Roman" w:cs="Times New Roman"/>
          <w:sz w:val="32"/>
          <w:sz-cs w:val="32"/>
          <w:b/>
          <w:spacing w:val="0"/>
        </w:rPr>
        <w:t xml:space="preserve">SECCIÓN VI: CONFIDENCIALIDAD E INFORMACIÓN</w:t>
      </w:r>
    </w:p>
    <w:p>
      <w:pPr>
        <w:jc w:val="both"/>
        <w:spacing w:after="106"/>
      </w:pPr>
      <w:r>
        <w:rPr>
          <w:rFonts w:ascii="Times New Roman" w:hAnsi="Times New Roman" w:cs="Times New Roman"/>
          <w:sz w:val="29"/>
          <w:sz-cs w:val="29"/>
          <w:b/>
          <w:spacing w:val="0"/>
        </w:rPr>
        <w:t xml:space="preserve">Décima Primera. — Confidencialidad.</w:t>
      </w:r>
    </w:p>
    <w:p>
      <w:pPr>
        <w:jc w:val="both"/>
        <w:spacing w:after="213"/>
      </w:pPr>
      <w:r>
        <w:rPr>
          <w:rFonts w:ascii="Times New Roman" w:hAnsi="Times New Roman" w:cs="Times New Roman"/>
          <w:sz w:val="29"/>
          <w:sz-cs w:val="29"/>
          <w:spacing w:val="0"/>
        </w:rPr>
        <w:t xml:space="preserve">Las Partes guardarán absoluta confidencialidad sobre todos los datos, documentos e información interna de la otra Parte a los que accedan con ocasión del Contrato (incluido el presente documento), durante su vigencia y hasta 5 (cinco) años después de su terminación, absteniéndose de copiarla, reproducirla o revelarla a terceros sin consentimiento previo y por escrito de la Parte propietaria. La Parte receptora responderá por el uso que de la Información Confidencial hagan sus empleados, asesores, contratistas o representantes.</w:t>
      </w:r>
    </w:p>
    <w:p>
      <w:pPr>
        <w:jc w:val="both"/>
        <w:spacing w:after="106"/>
      </w:pPr>
      <w:r>
        <w:rPr>
          <w:rFonts w:ascii="Times New Roman" w:hAnsi="Times New Roman" w:cs="Times New Roman"/>
          <w:sz w:val="29"/>
          <w:sz-cs w:val="29"/>
          <w:b/>
          <w:spacing w:val="0"/>
        </w:rPr>
        <w:t xml:space="preserve">Décima Segunda. — Protección de Datos Personales.</w:t>
      </w:r>
    </w:p>
    <w:p>
      <w:pPr>
        <w:jc w:val="both"/>
        <w:spacing w:after="213"/>
      </w:pPr>
      <w:r>
        <w:rPr>
          <w:rFonts w:ascii="Times New Roman" w:hAnsi="Times New Roman" w:cs="Times New Roman"/>
          <w:sz w:val="29"/>
          <w:sz-cs w:val="29"/>
          <w:spacing w:val="0"/>
        </w:rPr>
        <w:t xml:space="preserve">Las Partes protegerán los Datos Personales a los que accedan conforme a la legislación aplicable, incluida, en lo pertinente, la Ley 81 de 2019 de Protección de Datos Personales de la República de Panamá. El acceso a Datos Personales de una Parte por la otra no constituye cesión, sino simple acceso para la ejecución del Contrato, y no podrán utilizarse para fines distintos a los aquí previstos.</w:t>
      </w:r>
    </w:p>
    <w:p>
      <w:pPr>
        <w:jc w:val="both"/>
        <w:spacing w:after="106"/>
      </w:pPr>
      <w:r>
        <w:rPr>
          <w:rFonts w:ascii="Times New Roman" w:hAnsi="Times New Roman" w:cs="Times New Roman"/>
          <w:sz w:val="29"/>
          <w:sz-cs w:val="29"/>
          <w:b/>
          <w:spacing w:val="0"/>
        </w:rPr>
        <w:t xml:space="preserve">Décima Tercera. — Propiedad Industrial e Intelectual.</w:t>
      </w:r>
    </w:p>
    <w:p>
      <w:pPr>
        <w:jc w:val="both"/>
        <w:spacing w:after="213"/>
      </w:pPr>
      <w:r>
        <w:rPr>
          <w:rFonts w:ascii="Times New Roman" w:hAnsi="Times New Roman" w:cs="Times New Roman"/>
          <w:sz w:val="29"/>
          <w:sz-cs w:val="29"/>
          <w:spacing w:val="0"/>
        </w:rPr>
        <w:t xml:space="preserve">El Contrato no confiere a las Partes derecho alguno sobre la propiedad industrial o intelectual de la otra, salvo la licencia limitada de uso de las marcas y signos de KUSHKI que el PARTNER requiera para cumplir el Contrato, conforme a los lineamientos de KUSHKI. Los derechos sobre cualquier obra, software, mejora o desarrollo serán propiedad de la Parte que los genere. Los materiales publicitarios que elabore el PARTNER y que usen marcas de KUSHKI se someterán a su aprobación previa, dentro de un plazo no mayor a 5 (cinco) días hábiles.</w:t>
      </w:r>
    </w:p>
    <w:p>
      <w:pPr>
        <w:jc w:val="both"/>
        <w:spacing w:after="160"/>
      </w:pPr>
      <w:r>
        <w:rPr>
          <w:rFonts w:ascii="Times New Roman" w:hAnsi="Times New Roman" w:cs="Times New Roman"/>
          <w:sz w:val="32"/>
          <w:sz-cs w:val="32"/>
          <w:b/>
          <w:spacing w:val="0"/>
        </w:rPr>
        <w:t xml:space="preserve">SECCIÓN VII: RIESGOS Y COMPLIANCE</w:t>
      </w:r>
    </w:p>
    <w:p>
      <w:pPr>
        <w:jc w:val="both"/>
        <w:spacing w:after="106"/>
      </w:pPr>
      <w:r>
        <w:rPr>
          <w:rFonts w:ascii="Times New Roman" w:hAnsi="Times New Roman" w:cs="Times New Roman"/>
          <w:sz w:val="29"/>
          <w:sz-cs w:val="29"/>
          <w:b/>
          <w:spacing w:val="0"/>
        </w:rPr>
        <w:t xml:space="preserve">Décima Cuarta. — Conducta Ética, Anticorrupción y Prevención de Blanqueo de Capitales.</w:t>
      </w:r>
    </w:p>
    <w:p>
      <w:pPr>
        <w:jc w:val="both"/>
        <w:spacing w:after="213"/>
      </w:pPr>
      <w:r>
        <w:rPr>
          <w:rFonts w:ascii="Times New Roman" w:hAnsi="Times New Roman" w:cs="Times New Roman"/>
          <w:sz w:val="29"/>
          <w:sz-cs w:val="29"/>
          <w:spacing w:val="0"/>
        </w:rPr>
        <w:t xml:space="preserve">Las Partes cumplirán las normas éticas y legales aplicables, en especial las relativas a la prevención del fraude, el soborno, la corrupción, el blanqueo de capitales, el financiamiento del terrorismo y el financiamiento de la proliferación de armas de destrucción masiva, incluyendo la normativa panameña aplicable. Las Partes declaran que sus ingresos provienen de actividades lícitas y que no se encuentran incluidas en listas restrictivas nacionales o internacionales (OFAC, ONU, Unión Europea u otras). La inclusión de una Parte en dichas listas constituirá justa causa de terminación. El PARTNER verificará que los Clientes Potenciales desarrollen sus actividades conforme a la ley aplicable.</w:t>
      </w:r>
    </w:p>
    <w:p>
      <w:pPr>
        <w:jc w:val="both"/>
        <w:spacing w:after="106"/>
      </w:pPr>
      <w:r>
        <w:rPr>
          <w:rFonts w:ascii="Times New Roman" w:hAnsi="Times New Roman" w:cs="Times New Roman"/>
          <w:sz w:val="29"/>
          <w:sz-cs w:val="29"/>
          <w:b/>
          <w:spacing w:val="0"/>
        </w:rPr>
        <w:t xml:space="preserve">Décima Quinta. — Conflicto de Intereses y Buenas Prácticas.</w:t>
      </w:r>
    </w:p>
    <w:p>
      <w:pPr>
        <w:jc w:val="both"/>
        <w:spacing w:after="213"/>
      </w:pPr>
      <w:r>
        <w:rPr>
          <w:rFonts w:ascii="Times New Roman" w:hAnsi="Times New Roman" w:cs="Times New Roman"/>
          <w:sz w:val="29"/>
          <w:sz-cs w:val="29"/>
          <w:spacing w:val="0"/>
        </w:rPr>
        <w:t xml:space="preserve">El PARTNER adoptará las medidas necesarias para evitar conflictos de intereses con los Clientes Potenciales y Clientes, e informará a KUSHKI de cualquier situación que pudiera constituirlo. Las Partes se obligan a no actuar de manera desleal entre sí ni frente a terceros contratados por KUSHKI, dando cumplimiento a las normas de libre competencia aplicables.</w:t>
      </w:r>
    </w:p>
    <w:p>
      <w:pPr>
        <w:jc w:val="both"/>
        <w:spacing w:after="160"/>
      </w:pPr>
      <w:r>
        <w:rPr>
          <w:rFonts w:ascii="Times New Roman" w:hAnsi="Times New Roman" w:cs="Times New Roman"/>
          <w:sz w:val="32"/>
          <w:sz-cs w:val="32"/>
          <w:b/>
          <w:spacing w:val="0"/>
        </w:rPr>
        <w:t xml:space="preserve">SECCIÓN VIII: MISCELÁNEOS</w:t>
      </w:r>
    </w:p>
    <w:p>
      <w:pPr>
        <w:jc w:val="both"/>
        <w:spacing w:after="106"/>
      </w:pPr>
      <w:r>
        <w:rPr>
          <w:rFonts w:ascii="Times New Roman" w:hAnsi="Times New Roman" w:cs="Times New Roman"/>
          <w:sz w:val="29"/>
          <w:sz-cs w:val="29"/>
          <w:b/>
          <w:spacing w:val="0"/>
        </w:rPr>
        <w:t xml:space="preserve">Décima Sexta. — Causales adicionales de terminación.</w:t>
      </w:r>
    </w:p>
    <w:p>
      <w:pPr>
        <w:jc w:val="both"/>
        <w:spacing w:after="213"/>
      </w:pPr>
      <w:r>
        <w:rPr>
          <w:rFonts w:ascii="Times New Roman" w:hAnsi="Times New Roman" w:cs="Times New Roman"/>
          <w:sz w:val="29"/>
          <w:sz-cs w:val="29"/>
          <w:spacing w:val="0"/>
        </w:rPr>
        <w:t xml:space="preserve">Sin perjuicio de la Cláusula Octava, KUSHKI podrá resolver el Contrato, previa notificación escrita, si (i) el PARTNER suscribe Acuerdos de Servicios en nombre de KUSHKI, o (ii) cede sus derechos u obligaciones sin la autorización prevista en la Cláusula Décima Novena, o (iii) incurre en conductas asociadas a corrupción, blanqueo de capitales o financiamiento del terrorismo. En todos los casos de terminación sin justa causa imputable al PARTNER, subsistirá la Comisión de cola de la Cláusula 6.3.</w:t>
      </w:r>
    </w:p>
    <w:p>
      <w:pPr>
        <w:jc w:val="both"/>
        <w:spacing w:after="106"/>
      </w:pPr>
      <w:r>
        <w:rPr>
          <w:rFonts w:ascii="Times New Roman" w:hAnsi="Times New Roman" w:cs="Times New Roman"/>
          <w:sz w:val="29"/>
          <w:sz-cs w:val="29"/>
          <w:b/>
          <w:spacing w:val="0"/>
        </w:rPr>
        <w:t xml:space="preserve">Décima Séptima. — Modificaciones y Términos incorporados.</w:t>
      </w:r>
    </w:p>
    <w:p>
      <w:pPr>
        <w:jc w:val="both"/>
        <w:spacing w:after="213"/>
      </w:pPr>
      <w:r>
        <w:rPr>
          <w:rFonts w:ascii="Times New Roman" w:hAnsi="Times New Roman" w:cs="Times New Roman"/>
          <w:sz w:val="29"/>
          <w:sz-cs w:val="29"/>
          <w:spacing w:val="0"/>
        </w:rPr>
        <w:t xml:space="preserve">Las modificaciones al Contrato y a sus Anexos sólo serán válidas mediante documento escrito firmado por ambas Partes. Toda modificación a los Términos y Condiciones de KUSHKI, a la Tarifa Base o al proceso de presentación de Clientes Potenciales que tenga incidencia económica para el PARTNER le será notificada por escrito con al menos 30 (treinta) días de antelación y requerirá su aceptación; de no aceptarla, el PARTNER podrá terminar el Contrato sin penalidad, subsistiendo la Comisión de cola de la Cláusula 6.3. Las modificaciones de carácter meramente operativo o de seguridad podrán implementarse con notificación previa razonable.</w:t>
      </w:r>
    </w:p>
    <w:p>
      <w:pPr>
        <w:jc w:val="both"/>
        <w:spacing w:after="106"/>
      </w:pPr>
      <w:r>
        <w:rPr>
          <w:rFonts w:ascii="Times New Roman" w:hAnsi="Times New Roman" w:cs="Times New Roman"/>
          <w:sz w:val="29"/>
          <w:sz-cs w:val="29"/>
          <w:b/>
          <w:spacing w:val="0"/>
        </w:rPr>
        <w:t xml:space="preserve">Décima Octava. — Avisos y Notificaciones.</w:t>
      </w:r>
    </w:p>
    <w:p>
      <w:pPr>
        <w:jc w:val="both"/>
        <w:spacing w:after="213"/>
      </w:pPr>
      <w:r>
        <w:rPr>
          <w:rFonts w:ascii="Times New Roman" w:hAnsi="Times New Roman" w:cs="Times New Roman"/>
          <w:sz w:val="29"/>
          <w:sz-cs w:val="29"/>
          <w:spacing w:val="0"/>
        </w:rPr>
        <w:t xml:space="preserve">Los avisos podrán entregarse por medios electrónicos a las cuentas de correo informadas por cada Parte en la carátula. Las Partes reconocen la validez de la firma electrónica conforme a la Ley 51 de 2008 de la República de Panamá, otorgándole el mismo valor y efectos probatorios que la firma autógrafa.</w:t>
      </w:r>
    </w:p>
    <w:p>
      <w:pPr>
        <w:jc w:val="both"/>
        <w:spacing w:after="106"/>
      </w:pPr>
      <w:r>
        <w:rPr>
          <w:rFonts w:ascii="Times New Roman" w:hAnsi="Times New Roman" w:cs="Times New Roman"/>
          <w:sz w:val="29"/>
          <w:sz-cs w:val="29"/>
          <w:b/>
          <w:spacing w:val="0"/>
        </w:rPr>
        <w:t xml:space="preserve">Décima Novena. — Cesión.</w:t>
      </w:r>
    </w:p>
    <w:p>
      <w:pPr>
        <w:jc w:val="both"/>
        <w:spacing w:after="213"/>
      </w:pPr>
      <w:r>
        <w:rPr>
          <w:rFonts w:ascii="Times New Roman" w:hAnsi="Times New Roman" w:cs="Times New Roman"/>
          <w:sz w:val="29"/>
          <w:sz-cs w:val="29"/>
          <w:spacing w:val="0"/>
        </w:rPr>
        <w:t xml:space="preserve">El PARTNER no podrá ceder, total o parcialmente, sus derechos y obligaciones sin autorización previa y por escrito de KUSHKI. KUSHKI podrá ceder el Contrato a sus afiliadas, o transferir los Acuerdos de Servicios a un tercero, mediante comunicación al PARTNER; en tal caso, los derechos del PARTNER al pago de la Comisión —incluida la Comisión de cola— vincularán y serán oponibles al cesionario o sucesor, como condición de la cesión.</w:t>
      </w:r>
    </w:p>
    <w:p>
      <w:pPr>
        <w:jc w:val="both"/>
        <w:spacing w:after="106"/>
      </w:pPr>
      <w:r>
        <w:rPr>
          <w:rFonts w:ascii="Times New Roman" w:hAnsi="Times New Roman" w:cs="Times New Roman"/>
          <w:sz w:val="29"/>
          <w:sz-cs w:val="29"/>
          <w:b/>
          <w:spacing w:val="0"/>
        </w:rPr>
        <w:t xml:space="preserve">Vigésima. — Independencia de las Partes.</w:t>
      </w:r>
    </w:p>
    <w:p>
      <w:pPr>
        <w:jc w:val="both"/>
        <w:spacing w:after="213"/>
      </w:pPr>
      <w:r>
        <w:rPr>
          <w:rFonts w:ascii="Times New Roman" w:hAnsi="Times New Roman" w:cs="Times New Roman"/>
          <w:sz w:val="29"/>
          <w:sz-cs w:val="29"/>
          <w:spacing w:val="0"/>
        </w:rPr>
        <w:t xml:space="preserve">El Contrato es de naturaleza estrictamente mercantil; no existe relación laboral entre las Partes. El PARTNER es el único responsable de sus empleados, contratistas y de los daños que se ocasionen con motivo de la ejecución del Contrato, obligándose a mantener indemne a KUSHKI por tales conceptos.</w:t>
      </w:r>
    </w:p>
    <w:p>
      <w:pPr>
        <w:jc w:val="both"/>
        <w:spacing w:after="106"/>
      </w:pPr>
      <w:r>
        <w:rPr>
          <w:rFonts w:ascii="Times New Roman" w:hAnsi="Times New Roman" w:cs="Times New Roman"/>
          <w:sz w:val="29"/>
          <w:sz-cs w:val="29"/>
          <w:b/>
          <w:spacing w:val="0"/>
        </w:rPr>
        <w:t xml:space="preserve">Vigésima Primera. — Acuerdo Íntegro.</w:t>
      </w:r>
    </w:p>
    <w:p>
      <w:pPr>
        <w:jc w:val="both"/>
        <w:spacing w:after="213"/>
      </w:pPr>
      <w:r>
        <w:rPr>
          <w:rFonts w:ascii="Times New Roman" w:hAnsi="Times New Roman" w:cs="Times New Roman"/>
          <w:sz w:val="29"/>
          <w:sz-cs w:val="29"/>
          <w:spacing w:val="0"/>
        </w:rPr>
        <w:t xml:space="preserve">El Contrato, junto con sus Anexos (Anexo No. 1 — Tarifa Base y condiciones de pago; Anexo No. 2 — Términos y Condiciones de KUSHKI; Anexo No. 3 — Esquemas de pago a plazos), constituye el acuerdo íntegro entre las Partes y reemplaza cualquier entendimiento previo, verbal o escrito.</w:t>
      </w:r>
    </w:p>
    <w:p>
      <w:pPr>
        <w:jc w:val="both"/>
        <w:spacing w:after="106"/>
      </w:pPr>
      <w:r>
        <w:rPr>
          <w:rFonts w:ascii="Times New Roman" w:hAnsi="Times New Roman" w:cs="Times New Roman"/>
          <w:sz w:val="29"/>
          <w:sz-cs w:val="29"/>
          <w:b/>
          <w:spacing w:val="0"/>
        </w:rPr>
        <w:t xml:space="preserve">Vigésima Segunda. — Ley Aplicable y Jurisdicción.</w:t>
      </w:r>
    </w:p>
    <w:p>
      <w:pPr>
        <w:jc w:val="both"/>
        <w:spacing w:after="213"/>
      </w:pPr>
      <w:r>
        <w:rPr>
          <w:rFonts w:ascii="Times New Roman" w:hAnsi="Times New Roman" w:cs="Times New Roman"/>
          <w:sz w:val="29"/>
          <w:sz-cs w:val="29"/>
          <w:spacing w:val="0"/>
        </w:rPr>
        <w:t xml:space="preserve">El Contrato se regirá e interpretará conforme a las leyes de la República de Panamá. Para toda controversia derivada del Contrato, las Partes se someten a la jurisdicción de los tribunales ordinarios del Distrito de Panamá, República de Panamá, renunciando a cualquier otro fuero que pudiera corresponderles.</w:t>
      </w:r>
    </w:p>
    <w:p>
      <w:pPr>
        <w:jc w:val="both"/>
        <w:spacing w:after="266"/>
      </w:pPr>
      <w:r>
        <w:rPr>
          <w:rFonts w:ascii="Times New Roman" w:hAnsi="Times New Roman" w:cs="Times New Roman"/>
          <w:sz w:val="29"/>
          <w:sz-cs w:val="29"/>
          <w:spacing w:val="0"/>
        </w:rPr>
        <w:t xml:space="preserve">Leído el Contrato, las Partes manifiestan su conformidad y consentimiento de obligarse conforme a sus términos, y lo firman de manera digital, reconociendo que la firma electrónica produce los mismos efectos que la autógrafa.</w:t>
      </w:r>
    </w:p>
    <w:p>
      <w:pPr/>
      <w:r>
        <w:rPr>
          <w:rFonts w:ascii="Times New Roman" w:hAnsi="Times New Roman" w:cs="Times New Roman"/>
          <w:sz w:val="28"/>
          <w:sz-cs w:val="28"/>
          <w:b/>
          <w:spacing w:val="0"/>
        </w:rPr>
        <w:t xml:space="preserve">POR KUSHKI</w:t>
      </w:r>
    </w:p>
    <w:p>
      <w:pPr/>
      <w:r>
        <w:rPr>
          <w:rFonts w:ascii="Times New Roman" w:hAnsi="Times New Roman" w:cs="Times New Roman"/>
          <w:sz w:val="28"/>
          <w:sz-cs w:val="28"/>
          <w:b/>
          <w:spacing w:val="0"/>
        </w:rPr>
        <w:t xml:space="preserve">POR EL PARTNER — ALLEEN, S.A.</w:t>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______________________________</w:t>
      </w:r>
    </w:p>
    <w:p>
      <w:pPr/>
      <w:r>
        <w:rPr>
          <w:rFonts w:ascii="Times New Roman" w:hAnsi="Times New Roman" w:cs="Times New Roman"/>
          <w:sz w:val="28"/>
          <w:sz-cs w:val="28"/>
          <w:b/>
          <w:spacing w:val="0"/>
        </w:rPr>
        <w:t xml:space="preserve">Nombre:</w:t>
      </w:r>
      <w:r>
        <w:rPr>
          <w:rFonts w:ascii="Times New Roman" w:hAnsi="Times New Roman" w:cs="Times New Roman"/>
          <w:sz w:val="28"/>
          <w:sz-cs w:val="28"/>
          <w:spacing w:val="0"/>
        </w:rPr>
        <w:t xml:space="preserve">  </w:t>
      </w:r>
    </w:p>
    <w:p>
      <w:pPr/>
      <w:r>
        <w:rPr>
          <w:rFonts w:ascii="Times New Roman" w:hAnsi="Times New Roman" w:cs="Times New Roman"/>
          <w:sz w:val="28"/>
          <w:sz-cs w:val="28"/>
          <w:b/>
          <w:spacing w:val="0"/>
        </w:rPr>
        <w:t xml:space="preserve">Cargo:</w:t>
      </w:r>
      <w:r>
        <w:rPr>
          <w:rFonts w:ascii="Times New Roman" w:hAnsi="Times New Roman" w:cs="Times New Roman"/>
          <w:sz w:val="28"/>
          <w:sz-cs w:val="28"/>
          <w:spacing w:val="0"/>
        </w:rPr>
        <w:t xml:space="preserve">  </w:t>
      </w:r>
    </w:p>
    <w:p>
      <w:pPr/>
      <w:r>
        <w:rPr>
          <w:rFonts w:ascii="Times New Roman" w:hAnsi="Times New Roman" w:cs="Times New Roman"/>
          <w:sz w:val="28"/>
          <w:sz-cs w:val="28"/>
          <w:b/>
          <w:spacing w:val="0"/>
        </w:rPr>
        <w:t xml:space="preserve">Documento:</w:t>
      </w:r>
      <w:r>
        <w:rPr>
          <w:rFonts w:ascii="Times New Roman" w:hAnsi="Times New Roman" w:cs="Times New Roman"/>
          <w:sz w:val="28"/>
          <w:sz-cs w:val="28"/>
          <w:spacing w:val="0"/>
        </w:rPr>
        <w:t xml:space="preserve">  </w:t>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______________________________</w:t>
      </w:r>
    </w:p>
    <w:p>
      <w:pPr/>
      <w:r>
        <w:rPr>
          <w:rFonts w:ascii="Times New Roman" w:hAnsi="Times New Roman" w:cs="Times New Roman"/>
          <w:sz w:val="28"/>
          <w:sz-cs w:val="28"/>
          <w:b/>
          <w:spacing w:val="0"/>
        </w:rPr>
        <w:t xml:space="preserve">Nombre:</w:t>
      </w:r>
      <w:r>
        <w:rPr>
          <w:rFonts w:ascii="Times New Roman" w:hAnsi="Times New Roman" w:cs="Times New Roman"/>
          <w:sz w:val="28"/>
          <w:sz-cs w:val="28"/>
          <w:spacing w:val="0"/>
        </w:rPr>
        <w:t xml:space="preserve">  </w:t>
      </w:r>
    </w:p>
    <w:p>
      <w:pPr/>
      <w:r>
        <w:rPr>
          <w:rFonts w:ascii="Times New Roman" w:hAnsi="Times New Roman" w:cs="Times New Roman"/>
          <w:sz w:val="28"/>
          <w:sz-cs w:val="28"/>
          <w:b/>
          <w:spacing w:val="0"/>
        </w:rPr>
        <w:t xml:space="preserve">Cargo:</w:t>
      </w:r>
      <w:r>
        <w:rPr>
          <w:rFonts w:ascii="Times New Roman" w:hAnsi="Times New Roman" w:cs="Times New Roman"/>
          <w:sz w:val="28"/>
          <w:sz-cs w:val="28"/>
          <w:spacing w:val="0"/>
        </w:rPr>
        <w:t xml:space="preserve"> Apoderado / Representante Legal</w:t>
      </w:r>
    </w:p>
    <w:p>
      <w:pPr/>
      <w:r>
        <w:rPr>
          <w:rFonts w:ascii="Times New Roman" w:hAnsi="Times New Roman" w:cs="Times New Roman"/>
          <w:sz w:val="28"/>
          <w:sz-cs w:val="28"/>
          <w:b/>
          <w:spacing w:val="0"/>
        </w:rPr>
        <w:t xml:space="preserve">Documento:</w:t>
      </w:r>
      <w:r>
        <w:rPr>
          <w:rFonts w:ascii="Times New Roman" w:hAnsi="Times New Roman" w:cs="Times New Roman"/>
          <w:sz w:val="28"/>
          <w:sz-cs w:val="28"/>
          <w:spacing w:val="0"/>
        </w:rPr>
        <w:t xml:space="preserve">  </w:t>
      </w:r>
    </w:p>
    <w:p>
      <w:pPr>
        <w:jc w:val="both"/>
        <w:spacing w:after="213"/>
      </w:pPr>
      <w:r>
        <w:rPr>
          <w:rFonts w:ascii="Times New Roman" w:hAnsi="Times New Roman" w:cs="Times New Roman"/>
          <w:sz w:val="25"/>
          <w:sz-cs w:val="25"/>
          <w:i/>
          <w:spacing w:val="0"/>
          <w:color w:val="434343"/>
        </w:rPr>
        <w:t xml:space="preserve">Borrador preparado para negociación. Antes de su firma, se recomienda la revisión por abogado habilitado en la República de Panamá. Los campos en blanco y los Anexos Nos. 1, 2 y 3 deben completarse previo a la suscripción.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