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:method"/>
    <w:p>
      <w:pPr>
        <w:pStyle w:val="Heading1"/>
      </w:pPr>
      <w:r>
        <w:t xml:space="preserve">Method</w:t>
      </w:r>
    </w:p>
    <w:bookmarkStart w:id="9" w:name="sec:problem_setup"/>
    <w:p>
      <w:pPr>
        <w:pStyle w:val="Heading2"/>
      </w:pPr>
      <w:r>
        <w:t xml:space="preserve">Problem Setup</w:t>
      </w:r>
    </w:p>
    <w:p>
      <w:pPr>
        <w:pStyle w:val="FirstParagraph"/>
      </w:pPr>
      <w:r>
        <w:t xml:space="preserve">We study multi-task imitation learning where a robot learns a policy from expert demonstrations.</w:t>
      </w:r>
      <w:r>
        <w:t xml:space="preserve"> </w:t>
      </w:r>
      <w:r>
        <w:t xml:space="preserve">At time step</w:t>
      </w:r>
      <w:r>
        <w:t xml:space="preserve"> </w:t>
      </w:r>
      <m:oMath>
        <m:r>
          <m:t>t</m:t>
        </m:r>
      </m:oMath>
      <w:r>
        <w:t xml:space="preserve">, the agent receives multi-modal observations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Sup>
          <m:e>
            <m:r>
              <m:t>I</m:t>
            </m:r>
          </m:e>
          <m:sub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  <m:sSub>
          <m:e>
            <m:r>
              <m:rPr>
                <m:sty m:val="p"/>
              </m:rPr>
              <m:t>}</m:t>
            </m:r>
          </m:e>
          <m:sub>
            <m:r>
              <m:t>v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V</m:t>
            </m:r>
          </m:sub>
        </m:sSub>
      </m:oMath>
      <w:r>
        <w:t xml:space="preserve"> </w:t>
      </w:r>
      <w:r>
        <w:t xml:space="preserve">consisting of multi-view RGB images (e.g.,</w:t>
      </w:r>
      <w:r>
        <w:t xml:space="preserve"> </w:t>
      </w:r>
      <w:r>
        <w:rPr>
          <w:i/>
          <w:iCs/>
        </w:rPr>
        <w:t xml:space="preserve">agentview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eye-in-hand</w:t>
      </w:r>
      <w:r>
        <w:t xml:space="preserve">).</w:t>
      </w:r>
      <w:r>
        <w:t xml:space="preserve"> </w:t>
      </w:r>
      <w:r>
        <w:t xml:space="preserve">Each task is specified by a natural-language instruction, represented by a pre-computed offline text embedding</w:t>
      </w:r>
      <w:r>
        <w:t xml:space="preserve"> </w:t>
      </w:r>
      <m:oMath>
        <m:r>
          <m:t>ℓ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ℓ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policy outputs continuous robot actions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d</m:t>
                </m:r>
              </m:e>
              <m:sub>
                <m:r>
                  <m:t>a</m:t>
                </m:r>
              </m:sub>
            </m:sSub>
          </m:sup>
        </m:sSup>
      </m:oMath>
      <w:r>
        <w:t xml:space="preserve">.</w:t>
      </w:r>
    </w:p>
    <w:p>
      <w:pPr>
        <w:pStyle w:val="BodyText"/>
      </w:pPr>
      <w:r>
        <w:t xml:space="preserve">Following prior action-sequence policies, we predict a horizon-</w:t>
      </w:r>
      <m:oMath>
        <m:r>
          <m:t>L</m:t>
        </m:r>
      </m:oMath>
      <w:r>
        <w:t xml:space="preserve"> </w:t>
      </w:r>
      <w:r>
        <w:t xml:space="preserve">action chunk: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a</m:t>
              </m:r>
            </m:e>
            <m:sub>
              <m:r>
                <m:t>t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ℓ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t</m:t>
            </m:r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a</m:t>
                </m:r>
              </m:sub>
            </m:sSub>
          </m:sup>
        </m:sSup>
      </m:oMath>
      <w:r>
        <w:t xml:space="preserve">.</w:t>
      </w:r>
    </w:p>
    <w:bookmarkEnd w:id="9"/>
    <w:bookmarkStart w:id="13" w:name="sec:diffusion_policy"/>
    <w:p>
      <w:pPr>
        <w:pStyle w:val="Heading2"/>
      </w:pPr>
      <w:r>
        <w:t xml:space="preserve">Diffusion Policy for Action Sequences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a</m:t>
                </m:r>
              </m:sub>
            </m:sSub>
          </m:sup>
        </m:sSup>
      </m:oMath>
      <w:r>
        <w:t xml:space="preserve"> </w:t>
      </w:r>
      <w:r>
        <w:t xml:space="preserve">denote the ground-truth action sequence from demonstrations.</w:t>
      </w:r>
      <w:r>
        <w:t xml:space="preserve"> </w:t>
      </w:r>
      <w:r>
        <w:t xml:space="preserve">We model the conditional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rPr>
                <m:sty m:val="b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∣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using a diffusion model, where the condition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derived from visual observations and the offline language embedding.</w:t>
      </w:r>
    </w:p>
    <w:bookmarkStart w:id="10" w:name="forward-process."/>
    <w:p>
      <w:pPr>
        <w:pStyle w:val="Heading4"/>
      </w:pPr>
      <w:r>
        <w:t xml:space="preserve">Forward Process.</w:t>
      </w:r>
    </w:p>
    <w:p>
      <w:pPr>
        <w:pStyle w:val="FirstParagraph"/>
      </w:pPr>
      <w:r>
        <w:t xml:space="preserve">A forward noising process produces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gradually adding Gaussian noise: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b"/>
                </m:rPr>
                <m:t>I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a predefined noise schedule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α</m:t>
            </m:r>
          </m:e>
          <m:sub>
            <m:r>
              <m:t>t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</m:sSubSup>
      </m:oMath>
      <w:r>
        <w:t xml:space="preserve"> </w:t>
      </w:r>
      <w:r>
        <w:t xml:space="preserve">and diffusion horizon</w:t>
      </w:r>
      <w:r>
        <w:t xml:space="preserve"> </w:t>
      </w:r>
      <m:oMath>
        <m:r>
          <m:t>T</m:t>
        </m:r>
      </m:oMath>
      <w:r>
        <w:t xml:space="preserve">.</w:t>
      </w:r>
    </w:p>
    <w:bookmarkEnd w:id="10"/>
    <w:bookmarkStart w:id="11" w:name="training-objective."/>
    <w:p>
      <w:pPr>
        <w:pStyle w:val="Heading4"/>
      </w:pPr>
      <w:r>
        <w:t xml:space="preserve">Training Objective.</w:t>
      </w:r>
    </w:p>
    <w:p>
      <w:pPr>
        <w:pStyle w:val="FirstParagraph"/>
      </w:pPr>
      <w:r>
        <w:t xml:space="preserve">We train a noise-prediction model</w:t>
      </w:r>
      <w:r>
        <w:t xml:space="preserve"> </w:t>
      </w:r>
      <m:oMath>
        <m:sSub>
          <m:e>
            <m:r>
              <m:t>ϵ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standard</w:t>
      </w:r>
      <w:r>
        <w:t xml:space="preserve"> </w:t>
      </w:r>
      <m:oMath>
        <m:r>
          <m:t>ϵ</m:t>
        </m:r>
      </m:oMath>
      <w:r>
        <w:t xml:space="preserve">-prediction loss: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ϵ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Sup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r>
                        <m:t>ϵ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ϵ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ϵ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"/>
          </m:rPr>
          <m:t>0</m:t>
        </m:r>
        <m:r>
          <m:rPr>
            <m:sty m:val="p"/>
          </m:rPr>
          <m:t>,</m:t>
        </m:r>
        <m:r>
          <m:rPr>
            <m:sty m:val="b"/>
          </m:rP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constructed by the closed form: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sSub>
          <m:e>
            <m:r>
              <m:rPr>
                <m:sty m:val="b"/>
              </m:rP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ϵ</m:t>
        </m:r>
      </m:oMath>
      <w:r>
        <w:t xml:space="preserve">.</w:t>
      </w:r>
    </w:p>
    <w:bookmarkEnd w:id="11"/>
    <w:bookmarkStart w:id="12" w:name="inference-hyperparameters."/>
    <w:p>
      <w:pPr>
        <w:pStyle w:val="Heading4"/>
      </w:pPr>
      <w:r>
        <w:t xml:space="preserve">Inference Hyperparameters.</w:t>
      </w:r>
    </w:p>
    <w:p>
      <w:pPr>
        <w:pStyle w:val="FirstParagraph"/>
      </w:pPr>
      <w:r>
        <w:t xml:space="preserve">We explicitly distinguish two hyperparameters:</w:t>
      </w:r>
      <w:r>
        <w:t xml:space="preserve"> </w:t>
      </w:r>
      <w:r>
        <w:t xml:space="preserve">(i) the diffusion horizon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(implemented as</w:t>
      </w:r>
      <w:r>
        <w:t xml:space="preserve"> </w:t>
      </w:r>
      <w:r>
        <w:rPr>
          <w:rStyle w:val="VerbatimChar"/>
        </w:rPr>
        <w:t xml:space="preserve">num_sampling_steps</w:t>
      </w:r>
      <w:r>
        <w:t xml:space="preserve">/</w:t>
      </w:r>
      <w:r>
        <w:rPr>
          <w:rStyle w:val="VerbatimChar"/>
        </w:rPr>
        <w:t xml:space="preserve">n_timesteps</w:t>
      </w:r>
      <w:r>
        <w:t xml:space="preserve">), and</w:t>
      </w:r>
      <w:r>
        <w:t xml:space="preserve"> </w:t>
      </w:r>
      <w:r>
        <w:t xml:space="preserve">(ii) the number of reverse sampling iterations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test time (implemented as</w:t>
      </w:r>
      <w:r>
        <w:t xml:space="preserve"> </w:t>
      </w:r>
      <w:r>
        <w:rPr>
          <w:rStyle w:val="VerbatimChar"/>
        </w:rPr>
        <w:t xml:space="preserve">ddim_steps</w:t>
      </w:r>
      <w:r>
        <w:t xml:space="preserve"> </w:t>
      </w:r>
      <w:r>
        <w:t xml:space="preserve">for DDIM).</w:t>
      </w:r>
      <w:r>
        <w:t xml:space="preserve"> </w:t>
      </w:r>
      <w:r>
        <w:t xml:space="preserve">This separation is important for fair comparisons and efficiency analysis.</w:t>
      </w:r>
    </w:p>
    <w:bookmarkEnd w:id="12"/>
    <w:bookmarkEnd w:id="13"/>
    <w:bookmarkStart w:id="16" w:name="sec:arch"/>
    <w:p>
      <w:pPr>
        <w:pStyle w:val="Heading2"/>
      </w:pPr>
      <w:r>
        <w:t xml:space="preserve">Transformer–Mamba Heterogeneous Encoder–Decoder Denoiser</w:t>
      </w:r>
    </w:p>
    <w:p>
      <w:pPr>
        <w:pStyle w:val="FirstParagraph"/>
      </w:pPr>
      <w:r>
        <w:t xml:space="preserve">We adopt an explicit encoder–decoder denoiser to better utilize multi-modal context.</w:t>
      </w:r>
      <w:r>
        <w:t xml:space="preserve"> </w:t>
      </w:r>
      <w:r>
        <w:t xml:space="preserve">The overall denoiser takes a noisy action sequence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</m:sub>
        </m:sSub>
      </m:oMath>
      <w:r>
        <w:t xml:space="preserve">, diffusion step</w:t>
      </w:r>
      <w:r>
        <w:t xml:space="preserve"> </w:t>
      </w:r>
      <m:oMath>
        <m:r>
          <m:t>t</m:t>
        </m:r>
      </m:oMath>
      <w:r>
        <w:t xml:space="preserve">, and context</w:t>
      </w:r>
      <w:r>
        <w:t xml:space="preserve"> </w:t>
      </w:r>
      <m:oMath>
        <m:r>
          <m:t>c</m:t>
        </m:r>
      </m:oMath>
      <w:r>
        <w:t xml:space="preserve">, and predicts</w:t>
      </w:r>
      <w:r>
        <w:t xml:space="preserve"> </w:t>
      </w:r>
      <m:oMath>
        <m:acc>
          <m:accPr>
            <m:chr m:val="̂"/>
          </m:accPr>
          <m:e>
            <m:r>
              <m:t>ϵ</m:t>
            </m:r>
          </m:e>
        </m:acc>
      </m:oMath>
      <w:r>
        <w:t xml:space="preserve">.</w:t>
      </w:r>
    </w:p>
    <w:bookmarkStart w:id="14" w:name="multi-modal-context-construction."/>
    <w:p>
      <w:pPr>
        <w:pStyle w:val="Heading4"/>
      </w:pPr>
      <w:r>
        <w:t xml:space="preserve">Multi-modal Context Construction.</w:t>
      </w:r>
    </w:p>
    <w:p>
      <w:pPr>
        <w:pStyle w:val="FirstParagraph"/>
      </w:pPr>
      <w:r>
        <w:t xml:space="preserve">A visual encoder maps each RGB view</w:t>
      </w:r>
      <w:r>
        <w:t xml:space="preserve"> </w:t>
      </w:r>
      <m:oMath>
        <m:sSubSup>
          <m:e>
            <m:r>
              <m:t>I</m:t>
            </m:r>
          </m:e>
          <m:sub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to a set of tokens.</w:t>
      </w:r>
      <w:r>
        <w:t xml:space="preserve"> </w:t>
      </w:r>
      <w:r>
        <w:t xml:space="preserve">We concatenate multi-view visual tokens with the offline language embedding token(s) to form a context token sequence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encoder then computes a context memory: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</m:e>
            <m:sub>
              <m:r>
                <m:rPr>
                  <m:nor/>
                  <m:sty m:val="p"/>
                </m:rPr>
                <m:t>Trans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e>
          <m:sub>
            <m:r>
              <m:rPr>
                <m:nor/>
                <m:sty m:val="p"/>
              </m:rPr>
              <m:t>Trans</m:t>
            </m:r>
          </m:sub>
        </m:sSub>
      </m:oMath>
      <w:r>
        <w:t xml:space="preserve"> </w:t>
      </w:r>
      <w:r>
        <w:t xml:space="preserve">is a Transformer encoder enabling global interactions across modalities.</w:t>
      </w:r>
    </w:p>
    <w:bookmarkEnd w:id="14"/>
    <w:bookmarkStart w:id="15" w:name="X56991fd7013578e38dbce6ad85d3210f918aaed"/>
    <w:p>
      <w:pPr>
        <w:pStyle w:val="Heading4"/>
      </w:pPr>
      <w:r>
        <w:t xml:space="preserve">Mamba Decoder for Stable Long-Sequence Denoising.</w:t>
      </w:r>
    </w:p>
    <w:p>
      <w:pPr>
        <w:pStyle w:val="FirstParagraph"/>
      </w:pPr>
      <w:r>
        <w:t xml:space="preserve">Given the context memory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a diffusion time embedding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we decode the noisy action sequence using a Mamba-style sequence model: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ϵ</m:t>
              </m:r>
            </m:e>
          </m:acc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b>
              <m:r>
                <m:rPr>
                  <m:nor/>
                  <m:sty m:val="p"/>
                </m:rPr>
                <m:t>Mamba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inject the diffusion-step information via adaptive conditioning (e.g., AdaLN/FiLM-style modulation), which stabilizes denoising across diffusion steps.</w:t>
      </w:r>
      <w:r>
        <w:t xml:space="preserve"> </w:t>
      </w:r>
      <w:r>
        <w:t xml:space="preserve">Intuitively, the Transformer encoder specializes in global cross-modal alignment, while the Mamba decoder provides efficient and stable long-range sequence modeling for action denoising.</w:t>
      </w:r>
    </w:p>
    <w:bookmarkEnd w:id="15"/>
    <w:bookmarkEnd w:id="16"/>
    <w:bookmarkStart w:id="17" w:name="sec:ddim"/>
    <w:p>
      <w:pPr>
        <w:pStyle w:val="Heading2"/>
      </w:pPr>
      <w:r>
        <w:t xml:space="preserve">From DDPM to DDIM: Reducing Stochasticity for Long-Horizon Stability</w:t>
      </w:r>
    </w:p>
    <w:p>
      <w:pPr>
        <w:pStyle w:val="FirstParagraph"/>
      </w:pPr>
      <w:r>
        <w:t xml:space="preserve">In the baseline setting, DDPM-style sampling injects random noise at each reverse step, which can increase variance in generated action chunks.</w:t>
      </w:r>
      <w:r>
        <w:t xml:space="preserve"> </w:t>
      </w:r>
      <w:r>
        <w:t xml:space="preserve">In long-horizon tasks, such variance may amplify error accumulation and lead to inconsistent task progression.</w:t>
      </w:r>
      <w:r>
        <w:t xml:space="preserve"> </w:t>
      </w:r>
      <w:r>
        <w:t xml:space="preserve">We therefore use DDIM sampling with deterministic setting (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), which follows a non-stochastic reverse trajectory while retaining the same learned denoiser.</w:t>
      </w:r>
      <w:r>
        <w:t xml:space="preserve"> </w:t>
      </w:r>
      <w:r>
        <w:t xml:space="preserve">This change improves inference efficiency and reduces sampling variance under the same step budget.</w:t>
      </w:r>
    </w:p>
    <w:bookmarkEnd w:id="17"/>
    <w:bookmarkStart w:id="19" w:name="sec:replan"/>
    <w:p>
      <w:pPr>
        <w:pStyle w:val="Heading2"/>
      </w:pPr>
      <w:r>
        <w:t xml:space="preserve">Closed-Loop Execution via Replanning Frequency</w:t>
      </w:r>
      <w:r>
        <w:t xml:space="preserve"> </w:t>
      </w:r>
      <w:r>
        <w:rPr>
          <w:rStyle w:val="VerbatimChar"/>
        </w:rPr>
        <w:t xml:space="preserve">replan_every</w:t>
      </w:r>
    </w:p>
    <w:p>
      <w:pPr>
        <w:pStyle w:val="FirstParagraph"/>
      </w:pPr>
      <w:r>
        <w:t xml:space="preserve">Action-chunk policies are typically executed in an open-loop manner: the policy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actions and the controller executes the entire chunk without replanning.</w:t>
      </w:r>
      <w:r>
        <w:t xml:space="preserve"> </w:t>
      </w:r>
      <w:r>
        <w:t xml:space="preserve">This can be brittle for contact-rich tasks (e.g., LIBERO-Object) where small state-estimation or actuation errors quickly compound.</w:t>
      </w:r>
    </w:p>
    <w:p>
      <w:pPr>
        <w:pStyle w:val="BodyText"/>
      </w:pPr>
      <w:r>
        <w:t xml:space="preserve">We parameterize the execution with a replanning frequency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(implemented as</w:t>
      </w:r>
      <w:r>
        <w:t xml:space="preserve"> </w:t>
      </w:r>
      <w:r>
        <w:rPr>
          <w:rStyle w:val="VerbatimChar"/>
        </w:rPr>
        <w:t xml:space="preserve">replan_every</w:t>
      </w:r>
      <w:r>
        <w:t xml:space="preserve">):</w:t>
      </w:r>
      <w:r>
        <w:t xml:space="preserve"> </w:t>
      </w:r>
      <w:r>
        <w:t xml:space="preserve">the policy replans every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environment steps by generating a new length-</w:t>
      </w:r>
      <m:oMath>
        <m:r>
          <m:t>L</m:t>
        </m:r>
      </m:oMath>
      <w:r>
        <w:t xml:space="preserve"> </w:t>
      </w:r>
      <w:r>
        <w:t xml:space="preserve">chunk, while only executing 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actions of the chunk.</w:t>
      </w:r>
      <w:r>
        <w:t xml:space="preserve"> </w:t>
      </w:r>
      <w:r>
        <w:t xml:space="preserve">When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, the policy replans at every step (fully closed-loop);</w:t>
      </w:r>
      <w:r>
        <w:t xml:space="preserve"> </w:t>
      </w:r>
      <w:r>
        <w:t xml:space="preserve">when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L</m:t>
        </m:r>
      </m:oMath>
      <w:r>
        <w:t xml:space="preserve">, it reduces to open-loop chunk execution.</w:t>
      </w:r>
    </w:p>
    <w:p>
      <w:pPr>
        <w:pStyle w:val="BodyText"/>
      </w:pPr>
      <w:r>
        <w:t xml:space="preserve">Trained action-chunk policy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, chunk length</w:t>
      </w:r>
      <w:r>
        <w:t xml:space="preserve"> </w:t>
      </w:r>
      <m:oMath>
        <m:r>
          <m:t>L</m:t>
        </m:r>
      </m:oMath>
      <w:r>
        <w:t xml:space="preserve">, replanning interval</w:t>
      </w:r>
      <w:r>
        <w:t xml:space="preserve"> </w:t>
      </w:r>
      <m:oMath>
        <m:r>
          <m:t>r</m:t>
        </m:r>
      </m:oMath>
      <w:r>
        <w:t xml:space="preserve">, initial observation</w:t>
      </w:r>
      <w:r>
        <w:t xml:space="preserve"> </w:t>
      </w:r>
      <m:oMath>
        <m:sSub>
          <m:e>
            <m:r>
              <m:t>o</m:t>
            </m:r>
          </m:e>
          <m:sub>
            <m:r>
              <m:t>0</m:t>
            </m:r>
          </m:sub>
        </m:sSub>
      </m:oMath>
      <w:r>
        <w:t xml:space="preserve">, language embedding</w:t>
      </w:r>
      <w:r>
        <w:t xml:space="preserve"> </w:t>
      </w:r>
      <m:oMath>
        <m:r>
          <m:t>ℓ</m:t>
        </m:r>
      </m:oMath>
      <w:r>
        <w:t xml:space="preserve"> </w:t>
      </w:r>
      <m:oMath>
        <m:r>
          <m:t>t</m:t>
        </m:r>
        <m:r>
          <m:rPr>
            <m:sty m:val="p"/>
          </m:rPr>
          <m:t>←</m:t>
        </m:r>
        <m:r>
          <m:t>0</m:t>
        </m:r>
      </m:oMath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t</m:t>
            </m:r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Execute action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as the first unused element in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t</m:t>
            </m:r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+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Observe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m:oMath>
        <m:r>
          <m:t>t</m:t>
        </m:r>
        <m:r>
          <m:rPr>
            <m:sty m:val="p"/>
          </m:rPr>
          <m:t>←</m:t>
        </m:r>
        <m:r>
          <m:t>t</m:t>
        </m:r>
        <m:r>
          <m:rPr>
            <m:sty m:val="p"/>
          </m:rPr>
          <m:t>+</m:t>
        </m:r>
        <m:r>
          <m:t>1</m:t>
        </m:r>
      </m:oMath>
    </w:p>
    <w:bookmarkStart w:id="18" w:name="computeperformance-trade-off."/>
    <w:p>
      <w:pPr>
        <w:pStyle w:val="Heading4"/>
      </w:pPr>
      <w:r>
        <w:t xml:space="preserve">Compute–Performance Trade-off.</w:t>
      </w:r>
    </w:p>
    <w:p>
      <w:pPr>
        <w:pStyle w:val="FirstParagraph"/>
      </w:pPr>
      <w:r>
        <w:t xml:space="preserve">The overall inference cost scales with both the sampling iterations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replanning frequency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.</w:t>
      </w:r>
      <w:r>
        <w:t xml:space="preserve"> </w:t>
      </w:r>
      <w:r>
        <w:t xml:space="preserve">We therefore report success rates together with runtime/throughput metrics, and analyze the performance–compute trade-off across different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settings.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2026-01-19T12:21:36Z</dcterms:created>
  <dcterms:modified xsi:type="dcterms:W3CDTF">2026-01-19T12:21:36Z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