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B3C"/>
          <w:sz w:val="36"/>
        </w:rPr>
        <w:t>PRUEBAS DE USABILIDAD RESPONSIVE</w:t>
      </w:r>
    </w:p>
    <w:p>
      <w:r>
        <w:rPr>
          <w:color w:val="444444"/>
          <w:sz w:val="24"/>
        </w:rPr>
        <w:t>Woodbird · Aves decorativas de madera</w:t>
      </w:r>
    </w:p>
    <w:tbl>
      <w:tblPr>
        <w:tblStyle w:val="TableGrid"/>
        <w:tblW w:type="auto" w:w="0"/>
        <w:tblLook w:firstColumn="1" w:firstRow="1" w:lastColumn="0" w:lastRow="0" w:noHBand="0" w:noVBand="1" w:val="04A0"/>
      </w:tblPr>
      <w:tblGrid>
        <w:gridCol w:w="4680"/>
        <w:gridCol w:w="4680"/>
      </w:tblGrid>
      <w:tr>
        <w:tc>
          <w:tcPr>
            <w:tcW w:type="dxa" w:w="2268"/>
            <w:shd w:val="clear" w:color="auto" w:fill="E8EDE9"/>
          </w:tcPr>
          <w:p>
            <w:pPr>
              <w:spacing w:after="0"/>
            </w:pPr>
            <w:r/>
            <w:r>
              <w:rPr>
                <w:b/>
              </w:rPr>
              <w:t>Materia</w:t>
            </w:r>
          </w:p>
        </w:tc>
        <w:tc>
          <w:tcPr>
            <w:tcW w:type="dxa" w:w="7087"/>
          </w:tcPr>
          <w:p>
            <w:pPr>
              <w:spacing w:after="0"/>
            </w:pPr>
            <w:r>
              <w:t>Desarrollo de Sitios Web (DSW)</w:t>
            </w:r>
          </w:p>
        </w:tc>
      </w:tr>
      <w:tr>
        <w:tc>
          <w:tcPr>
            <w:tcW w:type="dxa" w:w="2268"/>
            <w:shd w:val="clear" w:color="auto" w:fill="E8EDE9"/>
          </w:tcPr>
          <w:p>
            <w:pPr>
              <w:spacing w:after="0"/>
            </w:pPr>
            <w:r/>
            <w:r>
              <w:rPr>
                <w:b/>
              </w:rPr>
              <w:t>Actividad</w:t>
            </w:r>
          </w:p>
        </w:tc>
        <w:tc>
          <w:tcPr>
            <w:tcW w:type="dxa" w:w="7087"/>
          </w:tcPr>
          <w:p>
            <w:pPr>
              <w:spacing w:after="0"/>
            </w:pPr>
            <w:r>
              <w:t>Sprint 2 — Semana 6 — Pruebas de usabilidad responsive del e-commerce</w:t>
            </w:r>
          </w:p>
        </w:tc>
      </w:tr>
      <w:tr>
        <w:tc>
          <w:tcPr>
            <w:tcW w:type="dxa" w:w="2268"/>
            <w:shd w:val="clear" w:color="auto" w:fill="E8EDE9"/>
          </w:tcPr>
          <w:p>
            <w:pPr>
              <w:spacing w:after="0"/>
            </w:pPr>
            <w:r/>
            <w:r>
              <w:rPr>
                <w:b/>
              </w:rPr>
              <w:t>Startup</w:t>
            </w:r>
          </w:p>
        </w:tc>
        <w:tc>
          <w:tcPr>
            <w:tcW w:type="dxa" w:w="7087"/>
          </w:tcPr>
          <w:p>
            <w:pPr>
              <w:spacing w:after="0"/>
            </w:pPr>
            <w:r>
              <w:t>Woodbird — Aves decorativas de madera</w:t>
            </w:r>
          </w:p>
        </w:tc>
      </w:tr>
      <w:tr>
        <w:tc>
          <w:tcPr>
            <w:tcW w:type="dxa" w:w="2268"/>
            <w:shd w:val="clear" w:color="auto" w:fill="E8EDE9"/>
          </w:tcPr>
          <w:p>
            <w:pPr>
              <w:spacing w:after="0"/>
            </w:pPr>
            <w:r/>
            <w:r>
              <w:rPr>
                <w:b/>
              </w:rPr>
              <w:t>Autor</w:t>
            </w:r>
          </w:p>
        </w:tc>
        <w:tc>
          <w:tcPr>
            <w:tcW w:type="dxa" w:w="7087"/>
          </w:tcPr>
          <w:p>
            <w:pPr>
              <w:spacing w:after="0"/>
            </w:pPr>
            <w:r>
              <w:t>Reiss Jorge Nicolás (PM y desarrollador)</w:t>
            </w:r>
          </w:p>
        </w:tc>
      </w:tr>
      <w:tr>
        <w:tc>
          <w:tcPr>
            <w:tcW w:type="dxa" w:w="2268"/>
            <w:shd w:val="clear" w:color="auto" w:fill="E8EDE9"/>
          </w:tcPr>
          <w:p>
            <w:pPr>
              <w:spacing w:after="0"/>
            </w:pPr>
            <w:r/>
            <w:r>
              <w:rPr>
                <w:b/>
              </w:rPr>
              <w:t>Docente</w:t>
            </w:r>
          </w:p>
        </w:tc>
        <w:tc>
          <w:tcPr>
            <w:tcW w:type="dxa" w:w="7087"/>
          </w:tcPr>
          <w:p>
            <w:pPr>
              <w:spacing w:after="0"/>
            </w:pPr>
            <w:r>
              <w:t>Ibañez Erick</w:t>
            </w:r>
          </w:p>
        </w:tc>
      </w:tr>
      <w:tr>
        <w:tc>
          <w:tcPr>
            <w:tcW w:type="dxa" w:w="2268"/>
            <w:shd w:val="clear" w:color="auto" w:fill="E8EDE9"/>
          </w:tcPr>
          <w:p>
            <w:pPr>
              <w:spacing w:after="0"/>
            </w:pPr>
            <w:r/>
            <w:r>
              <w:rPr>
                <w:b/>
              </w:rPr>
              <w:t>Fecha</w:t>
            </w:r>
          </w:p>
        </w:tc>
        <w:tc>
          <w:tcPr>
            <w:tcW w:type="dxa" w:w="7087"/>
          </w:tcPr>
          <w:p>
            <w:pPr>
              <w:spacing w:after="0"/>
            </w:pPr>
            <w:r>
              <w:t>28 de septiembre de 2026</w:t>
            </w:r>
          </w:p>
        </w:tc>
      </w:tr>
    </w:tbl>
    <w:p/>
    <w:p>
      <w:pPr>
        <w:pStyle w:val="Heading1"/>
      </w:pPr>
      <w:r>
        <w:t>1. Objetivo</w:t>
      </w:r>
    </w:p>
    <w:p>
      <w:r>
        <w:rPr>
          <w:b w:val="0"/>
        </w:rPr>
        <w:t>En la semana 4 se maquetó el sitio con una hoja de estilos propia, mobile-first, que usa solo Flexbox y CSS Grid. Esta prueba verifica que esa maqueta sea usable en todos los tamaños de pantalla en los que un cliente puede abrir la tienda: desde un celular chico de 320 px hasta un monitor Full HD. También sirve como control de calidad antes de la entrega del portafolio del Sprint 2.</w:t>
      </w:r>
    </w:p>
    <w:p>
      <w:r>
        <w:rPr>
          <w:b w:val="0"/>
        </w:rPr>
        <w:t>La prueba responde tres preguntas:</w:t>
      </w:r>
    </w:p>
    <w:p>
      <w:pPr>
        <w:pStyle w:val="ListBullet"/>
      </w:pPr>
      <w:r>
        <w:rPr>
          <w:b/>
        </w:rPr>
        <w:t>¿Se ve completo?</w:t>
      </w:r>
      <w:r>
        <w:rPr>
          <w:b w:val="0"/>
        </w:rPr>
        <w:t xml:space="preserve"> Nada se corta ni obliga a desplazarse de costado, y cada componente cambia de disposición en el corte que corresponde.</w:t>
      </w:r>
    </w:p>
    <w:p>
      <w:pPr>
        <w:pStyle w:val="ListBullet"/>
      </w:pPr>
      <w:r>
        <w:rPr>
          <w:b/>
        </w:rPr>
        <w:t>¿Se puede usar con el dedo?</w:t>
      </w:r>
      <w:r>
        <w:rPr>
          <w:b w:val="0"/>
        </w:rPr>
        <w:t xml:space="preserve"> Los botones, enlaces y campos tienen el tamaño mínimo para tocarlos sin errores, y la navegación lleva a cada sección sin que la barra fija la tape.</w:t>
      </w:r>
    </w:p>
    <w:p>
      <w:pPr>
        <w:pStyle w:val="ListBullet"/>
      </w:pPr>
      <w:r>
        <w:rPr>
          <w:b/>
        </w:rPr>
        <w:t>¿Se puede leer?</w:t>
      </w:r>
      <w:r>
        <w:rPr>
          <w:b w:val="0"/>
        </w:rPr>
        <w:t xml:space="preserve"> El tamaño de letra y el contraste de color cumplen las pautas de accesibilidad WCAG 2.1, nivel AA.</w:t>
      </w:r>
    </w:p>
    <w:p>
      <w:pPr>
        <w:pStyle w:val="Heading1"/>
      </w:pPr>
      <w:r>
        <w:t>2. Método</w:t>
      </w:r>
    </w:p>
    <w:p>
      <w:pPr>
        <w:pStyle w:val="Heading2"/>
      </w:pPr>
      <w:r>
        <w:t>2.1 Herramienta</w:t>
      </w:r>
    </w:p>
    <w:p>
      <w:r>
        <w:rPr>
          <w:b w:val="0"/>
        </w:rPr>
        <w:t>Las pruebas se automatizaron con un script propio en Node.js que controla Google Chrome 153 sin interfaz gráfica mediante el protocolo de depuración del navegador (Chrome DevTools Protocol). No usa frameworks ni librerías externas, igual que el sitio. Para cada ancho de pantalla, el script:</w:t>
      </w:r>
    </w:p>
    <w:p>
      <w:pPr>
        <w:pStyle w:val="ListBullet"/>
      </w:pPr>
      <w:r>
        <w:rPr>
          <w:b w:val="0"/>
        </w:rPr>
        <w:t>emula el dispositivo (ancho, alto y pantalla táctil) y abre la página desde un servidor local;</w:t>
      </w:r>
    </w:p>
    <w:p>
      <w:pPr>
        <w:pStyle w:val="ListBullet"/>
      </w:pPr>
      <w:r>
        <w:rPr>
          <w:b w:val="0"/>
        </w:rPr>
        <w:t>mide dentro de la página el desborde horizontal, el tamaño de cada objetivo táctil, el tamaño de letra y el contraste de cada texto contra su fondo real;</w:t>
      </w:r>
    </w:p>
    <w:p>
      <w:pPr>
        <w:pStyle w:val="ListBullet"/>
      </w:pPr>
      <w:r>
        <w:rPr>
          <w:b w:val="0"/>
        </w:rPr>
        <w:t>hace clic en cada enlace de la navegación y verifica que el título de la sección quede visible y sin tapar;</w:t>
      </w:r>
    </w:p>
    <w:p>
      <w:pPr>
        <w:pStyle w:val="ListBullet"/>
      </w:pPr>
      <w:r>
        <w:rPr>
          <w:b w:val="0"/>
        </w:rPr>
        <w:t>completa el checkout con datos inválidos y válidos, y registra toda petición de red que ocurra durante la compra;</w:t>
      </w:r>
    </w:p>
    <w:p>
      <w:pPr>
        <w:pStyle w:val="ListBullet"/>
      </w:pPr>
      <w:r>
        <w:rPr>
          <w:b w:val="0"/>
        </w:rPr>
        <w:t>guarda una captura de la pantalla visible y otra de la página completa.</w:t>
      </w:r>
    </w:p>
    <w:p>
      <w:r>
        <w:rPr>
          <w:b w:val="0"/>
        </w:rPr>
        <w:t xml:space="preserve">El script quedó en el repositorio (carpeta </w:t>
      </w:r>
      <w:r>
        <w:rPr>
          <w:b/>
        </w:rPr>
        <w:t>pruebas/</w:t>
      </w:r>
      <w:r>
        <w:rPr>
          <w:b w:val="0"/>
        </w:rPr>
        <w:t>), así que la prueba se puede repetir después de cualquier cambio de estilos. Las instrucciones están en el anexo.</w:t>
      </w:r>
    </w:p>
    <w:p>
      <w:pPr>
        <w:pStyle w:val="Heading2"/>
      </w:pPr>
      <w:r>
        <w:t>2.2 Páginas y tamaños de pantalla</w:t>
      </w:r>
    </w:p>
    <w:p>
      <w:r>
        <w:rPr>
          <w:b w:val="0"/>
        </w:rPr>
        <w:t xml:space="preserve">Se probaron las dos páginas del sitio, </w:t>
      </w:r>
      <w:r>
        <w:rPr>
          <w:b/>
        </w:rPr>
        <w:t>index.html</w:t>
      </w:r>
      <w:r>
        <w:rPr>
          <w:b w:val="0"/>
        </w:rPr>
        <w:t xml:space="preserve"> (inicio, catálogo, carrito y checkout) y </w:t>
      </w:r>
      <w:r>
        <w:rPr>
          <w:b/>
        </w:rPr>
        <w:t>politica-privacidad.html</w:t>
      </w:r>
      <w:r>
        <w:rPr>
          <w:b w:val="0"/>
        </w:rPr>
        <w:t>, en 11 anchos. Además de los dispositivos comunes se incluyeron los anchos justo a cada lado de los cortes de la hoja de estilos (599/600 y 959/960 px), porque ahí es donde suelen aparecer los errores de maquetación. En total, 22 combinaciones.</w:t>
      </w:r>
    </w:p>
    <w:tbl>
      <w:tblPr>
        <w:tblStyle w:val="TableGrid"/>
        <w:tblW w:type="auto" w:w="0"/>
        <w:tblLook w:firstColumn="1" w:firstRow="1" w:lastColumn="0" w:lastRow="0" w:noHBand="0" w:noVBand="1" w:val="04A0"/>
      </w:tblPr>
      <w:tblGrid>
        <w:gridCol w:w="3120"/>
        <w:gridCol w:w="3120"/>
        <w:gridCol w:w="3120"/>
      </w:tblGrid>
      <w:tr>
        <w:tc>
          <w:tcPr>
            <w:tcW w:type="dxa" w:w="1417"/>
            <w:shd w:val="clear" w:color="auto" w:fill="2F4B3C"/>
          </w:tcPr>
          <w:p>
            <w:pPr>
              <w:spacing w:after="0"/>
            </w:pPr>
            <w:r>
              <w:rPr>
                <w:b/>
                <w:color w:val="FFFFFF"/>
                <w:sz w:val="18"/>
              </w:rPr>
            </w:r>
            <w:r>
              <w:rPr>
                <w:b/>
                <w:color w:val="FFFFFF"/>
                <w:sz w:val="18"/>
              </w:rPr>
              <w:t>Ancho</w:t>
            </w:r>
          </w:p>
        </w:tc>
        <w:tc>
          <w:tcPr>
            <w:tcW w:type="dxa" w:w="1417"/>
            <w:shd w:val="clear" w:color="auto" w:fill="2F4B3C"/>
          </w:tcPr>
          <w:p>
            <w:pPr>
              <w:spacing w:after="0"/>
            </w:pPr>
            <w:r>
              <w:rPr>
                <w:b/>
                <w:color w:val="FFFFFF"/>
                <w:sz w:val="18"/>
              </w:rPr>
            </w:r>
            <w:r>
              <w:rPr>
                <w:b/>
                <w:color w:val="FFFFFF"/>
                <w:sz w:val="18"/>
              </w:rPr>
              <w:t>Alto</w:t>
            </w:r>
          </w:p>
        </w:tc>
        <w:tc>
          <w:tcPr>
            <w:tcW w:type="dxa" w:w="6520"/>
            <w:shd w:val="clear" w:color="auto" w:fill="2F4B3C"/>
          </w:tcPr>
          <w:p>
            <w:pPr>
              <w:spacing w:after="0"/>
            </w:pPr>
            <w:r>
              <w:rPr>
                <w:b/>
                <w:color w:val="FFFFFF"/>
                <w:sz w:val="18"/>
              </w:rPr>
            </w:r>
            <w:r>
              <w:rPr>
                <w:b/>
                <w:color w:val="FFFFFF"/>
                <w:sz w:val="18"/>
              </w:rPr>
              <w:t>Representa</w:t>
            </w:r>
          </w:p>
        </w:tc>
      </w:tr>
      <w:tr>
        <w:tc>
          <w:tcPr>
            <w:tcW w:type="dxa" w:w="1417"/>
          </w:tcPr>
          <w:p>
            <w:pPr>
              <w:spacing w:after="0"/>
            </w:pPr>
            <w:r>
              <w:rPr>
                <w:sz w:val="18"/>
              </w:rPr>
            </w:r>
            <w:r>
              <w:rPr>
                <w:b w:val="0"/>
                <w:sz w:val="18"/>
              </w:rPr>
              <w:t>320 px</w:t>
            </w:r>
          </w:p>
        </w:tc>
        <w:tc>
          <w:tcPr>
            <w:tcW w:type="dxa" w:w="1417"/>
          </w:tcPr>
          <w:p>
            <w:pPr>
              <w:spacing w:after="0"/>
            </w:pPr>
            <w:r>
              <w:rPr>
                <w:sz w:val="18"/>
              </w:rPr>
            </w:r>
            <w:r>
              <w:rPr>
                <w:b w:val="0"/>
                <w:sz w:val="18"/>
              </w:rPr>
              <w:t>568 px</w:t>
            </w:r>
          </w:p>
        </w:tc>
        <w:tc>
          <w:tcPr>
            <w:tcW w:type="dxa" w:w="6520"/>
          </w:tcPr>
          <w:p>
            <w:pPr>
              <w:spacing w:after="0"/>
            </w:pPr>
            <w:r>
              <w:rPr>
                <w:sz w:val="18"/>
              </w:rPr>
            </w:r>
            <w:r>
              <w:rPr>
                <w:b w:val="0"/>
                <w:sz w:val="18"/>
              </w:rPr>
              <w:t>iPhone SE (1.ª gen.) · mínimo WCAG 1.4.10</w:t>
            </w:r>
          </w:p>
        </w:tc>
      </w:tr>
      <w:tr>
        <w:tc>
          <w:tcPr>
            <w:tcW w:type="dxa" w:w="1417"/>
          </w:tcPr>
          <w:p>
            <w:pPr>
              <w:spacing w:after="0"/>
            </w:pPr>
            <w:r>
              <w:rPr>
                <w:sz w:val="18"/>
              </w:rPr>
            </w:r>
            <w:r>
              <w:rPr>
                <w:b w:val="0"/>
                <w:sz w:val="18"/>
              </w:rPr>
              <w:t>360 px</w:t>
            </w:r>
          </w:p>
        </w:tc>
        <w:tc>
          <w:tcPr>
            <w:tcW w:type="dxa" w:w="1417"/>
          </w:tcPr>
          <w:p>
            <w:pPr>
              <w:spacing w:after="0"/>
            </w:pPr>
            <w:r>
              <w:rPr>
                <w:sz w:val="18"/>
              </w:rPr>
            </w:r>
            <w:r>
              <w:rPr>
                <w:b w:val="0"/>
                <w:sz w:val="18"/>
              </w:rPr>
              <w:t>800 px</w:t>
            </w:r>
          </w:p>
        </w:tc>
        <w:tc>
          <w:tcPr>
            <w:tcW w:type="dxa" w:w="6520"/>
          </w:tcPr>
          <w:p>
            <w:pPr>
              <w:spacing w:after="0"/>
            </w:pPr>
            <w:r>
              <w:rPr>
                <w:sz w:val="18"/>
              </w:rPr>
            </w:r>
            <w:r>
              <w:rPr>
                <w:b w:val="0"/>
                <w:sz w:val="18"/>
              </w:rPr>
              <w:t>Android de gama media</w:t>
            </w:r>
          </w:p>
        </w:tc>
      </w:tr>
      <w:tr>
        <w:tc>
          <w:tcPr>
            <w:tcW w:type="dxa" w:w="1417"/>
          </w:tcPr>
          <w:p>
            <w:pPr>
              <w:spacing w:after="0"/>
            </w:pPr>
            <w:r>
              <w:rPr>
                <w:sz w:val="18"/>
              </w:rPr>
            </w:r>
            <w:r>
              <w:rPr>
                <w:b w:val="0"/>
                <w:sz w:val="18"/>
              </w:rPr>
              <w:t>390 px</w:t>
            </w:r>
          </w:p>
        </w:tc>
        <w:tc>
          <w:tcPr>
            <w:tcW w:type="dxa" w:w="1417"/>
          </w:tcPr>
          <w:p>
            <w:pPr>
              <w:spacing w:after="0"/>
            </w:pPr>
            <w:r>
              <w:rPr>
                <w:sz w:val="18"/>
              </w:rPr>
            </w:r>
            <w:r>
              <w:rPr>
                <w:b w:val="0"/>
                <w:sz w:val="18"/>
              </w:rPr>
              <w:t>844 px</w:t>
            </w:r>
          </w:p>
        </w:tc>
        <w:tc>
          <w:tcPr>
            <w:tcW w:type="dxa" w:w="6520"/>
          </w:tcPr>
          <w:p>
            <w:pPr>
              <w:spacing w:after="0"/>
            </w:pPr>
            <w:r>
              <w:rPr>
                <w:sz w:val="18"/>
              </w:rPr>
            </w:r>
            <w:r>
              <w:rPr>
                <w:b w:val="0"/>
                <w:sz w:val="18"/>
              </w:rPr>
              <w:t>iPhone 13/14</w:t>
            </w:r>
          </w:p>
        </w:tc>
      </w:tr>
      <w:tr>
        <w:tc>
          <w:tcPr>
            <w:tcW w:type="dxa" w:w="1417"/>
          </w:tcPr>
          <w:p>
            <w:pPr>
              <w:spacing w:after="0"/>
            </w:pPr>
            <w:r>
              <w:rPr>
                <w:sz w:val="18"/>
              </w:rPr>
            </w:r>
            <w:r>
              <w:rPr>
                <w:b w:val="0"/>
                <w:sz w:val="18"/>
              </w:rPr>
              <w:t>599 px</w:t>
            </w:r>
          </w:p>
        </w:tc>
        <w:tc>
          <w:tcPr>
            <w:tcW w:type="dxa" w:w="1417"/>
          </w:tcPr>
          <w:p>
            <w:pPr>
              <w:spacing w:after="0"/>
            </w:pPr>
            <w:r>
              <w:rPr>
                <w:sz w:val="18"/>
              </w:rPr>
            </w:r>
            <w:r>
              <w:rPr>
                <w:b w:val="0"/>
                <w:sz w:val="18"/>
              </w:rPr>
              <w:t>900 px</w:t>
            </w:r>
          </w:p>
        </w:tc>
        <w:tc>
          <w:tcPr>
            <w:tcW w:type="dxa" w:w="6520"/>
          </w:tcPr>
          <w:p>
            <w:pPr>
              <w:spacing w:after="0"/>
            </w:pPr>
            <w:r>
              <w:rPr>
                <w:sz w:val="18"/>
              </w:rPr>
            </w:r>
            <w:r>
              <w:rPr>
                <w:b w:val="0"/>
                <w:sz w:val="18"/>
              </w:rPr>
              <w:t>Borde inferior del corte de tableta</w:t>
            </w:r>
          </w:p>
        </w:tc>
      </w:tr>
      <w:tr>
        <w:tc>
          <w:tcPr>
            <w:tcW w:type="dxa" w:w="1417"/>
          </w:tcPr>
          <w:p>
            <w:pPr>
              <w:spacing w:after="0"/>
            </w:pPr>
            <w:r>
              <w:rPr>
                <w:sz w:val="18"/>
              </w:rPr>
            </w:r>
            <w:r>
              <w:rPr>
                <w:b w:val="0"/>
                <w:sz w:val="18"/>
              </w:rPr>
              <w:t>600 px</w:t>
            </w:r>
          </w:p>
        </w:tc>
        <w:tc>
          <w:tcPr>
            <w:tcW w:type="dxa" w:w="1417"/>
          </w:tcPr>
          <w:p>
            <w:pPr>
              <w:spacing w:after="0"/>
            </w:pPr>
            <w:r>
              <w:rPr>
                <w:sz w:val="18"/>
              </w:rPr>
            </w:r>
            <w:r>
              <w:rPr>
                <w:b w:val="0"/>
                <w:sz w:val="18"/>
              </w:rPr>
              <w:t>900 px</w:t>
            </w:r>
          </w:p>
        </w:tc>
        <w:tc>
          <w:tcPr>
            <w:tcW w:type="dxa" w:w="6520"/>
          </w:tcPr>
          <w:p>
            <w:pPr>
              <w:spacing w:after="0"/>
            </w:pPr>
            <w:r>
              <w:rPr>
                <w:sz w:val="18"/>
              </w:rPr>
            </w:r>
            <w:r>
              <w:rPr>
                <w:b w:val="0"/>
                <w:sz w:val="18"/>
              </w:rPr>
              <w:t>Corte de tableta</w:t>
            </w:r>
          </w:p>
        </w:tc>
      </w:tr>
      <w:tr>
        <w:tc>
          <w:tcPr>
            <w:tcW w:type="dxa" w:w="1417"/>
          </w:tcPr>
          <w:p>
            <w:pPr>
              <w:spacing w:after="0"/>
            </w:pPr>
            <w:r>
              <w:rPr>
                <w:sz w:val="18"/>
              </w:rPr>
            </w:r>
            <w:r>
              <w:rPr>
                <w:b w:val="0"/>
                <w:sz w:val="18"/>
              </w:rPr>
              <w:t>768 px</w:t>
            </w:r>
          </w:p>
        </w:tc>
        <w:tc>
          <w:tcPr>
            <w:tcW w:type="dxa" w:w="1417"/>
          </w:tcPr>
          <w:p>
            <w:pPr>
              <w:spacing w:after="0"/>
            </w:pPr>
            <w:r>
              <w:rPr>
                <w:sz w:val="18"/>
              </w:rPr>
            </w:r>
            <w:r>
              <w:rPr>
                <w:b w:val="0"/>
                <w:sz w:val="18"/>
              </w:rPr>
              <w:t>1024 px</w:t>
            </w:r>
          </w:p>
        </w:tc>
        <w:tc>
          <w:tcPr>
            <w:tcW w:type="dxa" w:w="6520"/>
          </w:tcPr>
          <w:p>
            <w:pPr>
              <w:spacing w:after="0"/>
            </w:pPr>
            <w:r>
              <w:rPr>
                <w:sz w:val="18"/>
              </w:rPr>
            </w:r>
            <w:r>
              <w:rPr>
                <w:b w:val="0"/>
                <w:sz w:val="18"/>
              </w:rPr>
              <w:t>iPad vertical</w:t>
            </w:r>
          </w:p>
        </w:tc>
      </w:tr>
      <w:tr>
        <w:tc>
          <w:tcPr>
            <w:tcW w:type="dxa" w:w="1417"/>
          </w:tcPr>
          <w:p>
            <w:pPr>
              <w:spacing w:after="0"/>
            </w:pPr>
            <w:r>
              <w:rPr>
                <w:sz w:val="18"/>
              </w:rPr>
            </w:r>
            <w:r>
              <w:rPr>
                <w:b w:val="0"/>
                <w:sz w:val="18"/>
              </w:rPr>
              <w:t>959 px</w:t>
            </w:r>
          </w:p>
        </w:tc>
        <w:tc>
          <w:tcPr>
            <w:tcW w:type="dxa" w:w="1417"/>
          </w:tcPr>
          <w:p>
            <w:pPr>
              <w:spacing w:after="0"/>
            </w:pPr>
            <w:r>
              <w:rPr>
                <w:sz w:val="18"/>
              </w:rPr>
            </w:r>
            <w:r>
              <w:rPr>
                <w:b w:val="0"/>
                <w:sz w:val="18"/>
              </w:rPr>
              <w:t>800 px</w:t>
            </w:r>
          </w:p>
        </w:tc>
        <w:tc>
          <w:tcPr>
            <w:tcW w:type="dxa" w:w="6520"/>
          </w:tcPr>
          <w:p>
            <w:pPr>
              <w:spacing w:after="0"/>
            </w:pPr>
            <w:r>
              <w:rPr>
                <w:sz w:val="18"/>
              </w:rPr>
            </w:r>
            <w:r>
              <w:rPr>
                <w:b w:val="0"/>
                <w:sz w:val="18"/>
              </w:rPr>
              <w:t>Borde inferior del corte de escritorio</w:t>
            </w:r>
          </w:p>
        </w:tc>
      </w:tr>
      <w:tr>
        <w:tc>
          <w:tcPr>
            <w:tcW w:type="dxa" w:w="1417"/>
          </w:tcPr>
          <w:p>
            <w:pPr>
              <w:spacing w:after="0"/>
            </w:pPr>
            <w:r>
              <w:rPr>
                <w:sz w:val="18"/>
              </w:rPr>
            </w:r>
            <w:r>
              <w:rPr>
                <w:b w:val="0"/>
                <w:sz w:val="18"/>
              </w:rPr>
              <w:t>960 px</w:t>
            </w:r>
          </w:p>
        </w:tc>
        <w:tc>
          <w:tcPr>
            <w:tcW w:type="dxa" w:w="1417"/>
          </w:tcPr>
          <w:p>
            <w:pPr>
              <w:spacing w:after="0"/>
            </w:pPr>
            <w:r>
              <w:rPr>
                <w:sz w:val="18"/>
              </w:rPr>
            </w:r>
            <w:r>
              <w:rPr>
                <w:b w:val="0"/>
                <w:sz w:val="18"/>
              </w:rPr>
              <w:t>800 px</w:t>
            </w:r>
          </w:p>
        </w:tc>
        <w:tc>
          <w:tcPr>
            <w:tcW w:type="dxa" w:w="6520"/>
          </w:tcPr>
          <w:p>
            <w:pPr>
              <w:spacing w:after="0"/>
            </w:pPr>
            <w:r>
              <w:rPr>
                <w:sz w:val="18"/>
              </w:rPr>
            </w:r>
            <w:r>
              <w:rPr>
                <w:b w:val="0"/>
                <w:sz w:val="18"/>
              </w:rPr>
              <w:t>Corte de escritorio</w:t>
            </w:r>
          </w:p>
        </w:tc>
      </w:tr>
      <w:tr>
        <w:tc>
          <w:tcPr>
            <w:tcW w:type="dxa" w:w="1417"/>
          </w:tcPr>
          <w:p>
            <w:pPr>
              <w:spacing w:after="0"/>
            </w:pPr>
            <w:r>
              <w:rPr>
                <w:sz w:val="18"/>
              </w:rPr>
            </w:r>
            <w:r>
              <w:rPr>
                <w:b w:val="0"/>
                <w:sz w:val="18"/>
              </w:rPr>
              <w:t>1024 px</w:t>
            </w:r>
          </w:p>
        </w:tc>
        <w:tc>
          <w:tcPr>
            <w:tcW w:type="dxa" w:w="1417"/>
          </w:tcPr>
          <w:p>
            <w:pPr>
              <w:spacing w:after="0"/>
            </w:pPr>
            <w:r>
              <w:rPr>
                <w:sz w:val="18"/>
              </w:rPr>
            </w:r>
            <w:r>
              <w:rPr>
                <w:b w:val="0"/>
                <w:sz w:val="18"/>
              </w:rPr>
              <w:t>768 px</w:t>
            </w:r>
          </w:p>
        </w:tc>
        <w:tc>
          <w:tcPr>
            <w:tcW w:type="dxa" w:w="6520"/>
          </w:tcPr>
          <w:p>
            <w:pPr>
              <w:spacing w:after="0"/>
            </w:pPr>
            <w:r>
              <w:rPr>
                <w:sz w:val="18"/>
              </w:rPr>
            </w:r>
            <w:r>
              <w:rPr>
                <w:b w:val="0"/>
                <w:sz w:val="18"/>
              </w:rPr>
              <w:t>iPad horizontal / notebook chica</w:t>
            </w:r>
          </w:p>
        </w:tc>
      </w:tr>
      <w:tr>
        <w:tc>
          <w:tcPr>
            <w:tcW w:type="dxa" w:w="1417"/>
          </w:tcPr>
          <w:p>
            <w:pPr>
              <w:spacing w:after="0"/>
            </w:pPr>
            <w:r>
              <w:rPr>
                <w:sz w:val="18"/>
              </w:rPr>
            </w:r>
            <w:r>
              <w:rPr>
                <w:b w:val="0"/>
                <w:sz w:val="18"/>
              </w:rPr>
              <w:t>1366 px</w:t>
            </w:r>
          </w:p>
        </w:tc>
        <w:tc>
          <w:tcPr>
            <w:tcW w:type="dxa" w:w="1417"/>
          </w:tcPr>
          <w:p>
            <w:pPr>
              <w:spacing w:after="0"/>
            </w:pPr>
            <w:r>
              <w:rPr>
                <w:sz w:val="18"/>
              </w:rPr>
            </w:r>
            <w:r>
              <w:rPr>
                <w:b w:val="0"/>
                <w:sz w:val="18"/>
              </w:rPr>
              <w:t>768 px</w:t>
            </w:r>
          </w:p>
        </w:tc>
        <w:tc>
          <w:tcPr>
            <w:tcW w:type="dxa" w:w="6520"/>
          </w:tcPr>
          <w:p>
            <w:pPr>
              <w:spacing w:after="0"/>
            </w:pPr>
            <w:r>
              <w:rPr>
                <w:sz w:val="18"/>
              </w:rPr>
            </w:r>
            <w:r>
              <w:rPr>
                <w:b w:val="0"/>
                <w:sz w:val="18"/>
              </w:rPr>
              <w:t>Notebook común</w:t>
            </w:r>
          </w:p>
        </w:tc>
      </w:tr>
      <w:tr>
        <w:tc>
          <w:tcPr>
            <w:tcW w:type="dxa" w:w="1417"/>
          </w:tcPr>
          <w:p>
            <w:pPr>
              <w:spacing w:after="0"/>
            </w:pPr>
            <w:r>
              <w:rPr>
                <w:sz w:val="18"/>
              </w:rPr>
            </w:r>
            <w:r>
              <w:rPr>
                <w:b w:val="0"/>
                <w:sz w:val="18"/>
              </w:rPr>
              <w:t>1920 px</w:t>
            </w:r>
          </w:p>
        </w:tc>
        <w:tc>
          <w:tcPr>
            <w:tcW w:type="dxa" w:w="1417"/>
          </w:tcPr>
          <w:p>
            <w:pPr>
              <w:spacing w:after="0"/>
            </w:pPr>
            <w:r>
              <w:rPr>
                <w:sz w:val="18"/>
              </w:rPr>
            </w:r>
            <w:r>
              <w:rPr>
                <w:b w:val="0"/>
                <w:sz w:val="18"/>
              </w:rPr>
              <w:t>1080 px</w:t>
            </w:r>
          </w:p>
        </w:tc>
        <w:tc>
          <w:tcPr>
            <w:tcW w:type="dxa" w:w="6520"/>
          </w:tcPr>
          <w:p>
            <w:pPr>
              <w:spacing w:after="0"/>
            </w:pPr>
            <w:r>
              <w:rPr>
                <w:sz w:val="18"/>
              </w:rPr>
            </w:r>
            <w:r>
              <w:rPr>
                <w:b w:val="0"/>
                <w:sz w:val="18"/>
              </w:rPr>
              <w:t>Monitor Full HD</w:t>
            </w:r>
          </w:p>
        </w:tc>
      </w:tr>
    </w:tbl>
    <w:p/>
    <w:p>
      <w:pPr>
        <w:pStyle w:val="Heading2"/>
      </w:pPr>
      <w:r>
        <w:t>2.3 Criterios de aceptación</w:t>
      </w:r>
    </w:p>
    <w:tbl>
      <w:tblPr>
        <w:tblStyle w:val="TableGrid"/>
        <w:tblW w:type="auto" w:w="0"/>
        <w:tblLook w:firstColumn="1" w:firstRow="1" w:lastColumn="0" w:lastRow="0" w:noHBand="0" w:noVBand="1" w:val="04A0"/>
      </w:tblPr>
      <w:tblGrid>
        <w:gridCol w:w="3120"/>
        <w:gridCol w:w="3120"/>
        <w:gridCol w:w="3120"/>
      </w:tblGrid>
      <w:tr>
        <w:tc>
          <w:tcPr>
            <w:tcW w:type="dxa" w:w="2381"/>
            <w:shd w:val="clear" w:color="auto" w:fill="2F4B3C"/>
          </w:tcPr>
          <w:p>
            <w:pPr>
              <w:spacing w:after="0"/>
            </w:pPr>
            <w:r>
              <w:rPr>
                <w:b/>
                <w:color w:val="FFFFFF"/>
                <w:sz w:val="18"/>
              </w:rPr>
            </w:r>
            <w:r>
              <w:rPr>
                <w:b/>
                <w:color w:val="FFFFFF"/>
                <w:sz w:val="18"/>
              </w:rPr>
              <w:t>Criterio</w:t>
            </w:r>
          </w:p>
        </w:tc>
        <w:tc>
          <w:tcPr>
            <w:tcW w:type="dxa" w:w="3572"/>
            <w:shd w:val="clear" w:color="auto" w:fill="2F4B3C"/>
          </w:tcPr>
          <w:p>
            <w:pPr>
              <w:spacing w:after="0"/>
            </w:pPr>
            <w:r>
              <w:rPr>
                <w:b/>
                <w:color w:val="FFFFFF"/>
                <w:sz w:val="18"/>
              </w:rPr>
            </w:r>
            <w:r>
              <w:rPr>
                <w:b/>
                <w:color w:val="FFFFFF"/>
                <w:sz w:val="18"/>
              </w:rPr>
              <w:t>Umbral</w:t>
            </w:r>
          </w:p>
        </w:tc>
        <w:tc>
          <w:tcPr>
            <w:tcW w:type="dxa" w:w="3402"/>
            <w:shd w:val="clear" w:color="auto" w:fill="2F4B3C"/>
          </w:tcPr>
          <w:p>
            <w:pPr>
              <w:spacing w:after="0"/>
            </w:pPr>
            <w:r>
              <w:rPr>
                <w:b/>
                <w:color w:val="FFFFFF"/>
                <w:sz w:val="18"/>
              </w:rPr>
            </w:r>
            <w:r>
              <w:rPr>
                <w:b/>
                <w:color w:val="FFFFFF"/>
                <w:sz w:val="18"/>
              </w:rPr>
              <w:t>Referencia</w:t>
            </w:r>
          </w:p>
        </w:tc>
      </w:tr>
      <w:tr>
        <w:tc>
          <w:tcPr>
            <w:tcW w:type="dxa" w:w="2381"/>
          </w:tcPr>
          <w:p>
            <w:pPr>
              <w:spacing w:after="0"/>
            </w:pPr>
            <w:r>
              <w:rPr>
                <w:sz w:val="18"/>
              </w:rPr>
            </w:r>
            <w:r>
              <w:rPr>
                <w:b w:val="0"/>
                <w:sz w:val="18"/>
              </w:rPr>
              <w:t>Sin desplazamiento horizontal</w:t>
            </w:r>
          </w:p>
        </w:tc>
        <w:tc>
          <w:tcPr>
            <w:tcW w:type="dxa" w:w="3572"/>
          </w:tcPr>
          <w:p>
            <w:pPr>
              <w:spacing w:after="0"/>
            </w:pPr>
            <w:r>
              <w:rPr>
                <w:sz w:val="18"/>
              </w:rPr>
            </w:r>
            <w:r>
              <w:rPr>
                <w:b w:val="0"/>
                <w:sz w:val="18"/>
              </w:rPr>
              <w:t>0 px de desborde en la página</w:t>
            </w:r>
          </w:p>
        </w:tc>
        <w:tc>
          <w:tcPr>
            <w:tcW w:type="dxa" w:w="3402"/>
          </w:tcPr>
          <w:p>
            <w:pPr>
              <w:spacing w:after="0"/>
            </w:pPr>
            <w:r>
              <w:rPr>
                <w:sz w:val="18"/>
              </w:rPr>
            </w:r>
            <w:r>
              <w:rPr>
                <w:b w:val="0"/>
                <w:sz w:val="18"/>
              </w:rPr>
              <w:t>WCAG 1.4.10 (reflujo, desde 320 px)</w:t>
            </w:r>
          </w:p>
        </w:tc>
      </w:tr>
      <w:tr>
        <w:tc>
          <w:tcPr>
            <w:tcW w:type="dxa" w:w="2381"/>
          </w:tcPr>
          <w:p>
            <w:pPr>
              <w:spacing w:after="0"/>
            </w:pPr>
            <w:r>
              <w:rPr>
                <w:sz w:val="18"/>
              </w:rPr>
            </w:r>
            <w:r>
              <w:rPr>
                <w:b w:val="0"/>
                <w:sz w:val="18"/>
              </w:rPr>
              <w:t>Objetivos táctiles</w:t>
            </w:r>
          </w:p>
        </w:tc>
        <w:tc>
          <w:tcPr>
            <w:tcW w:type="dxa" w:w="3572"/>
          </w:tcPr>
          <w:p>
            <w:pPr>
              <w:spacing w:after="0"/>
            </w:pPr>
            <w:r>
              <w:rPr>
                <w:sz w:val="18"/>
              </w:rPr>
            </w:r>
            <w:r>
              <w:rPr>
                <w:b w:val="0"/>
                <w:sz w:val="18"/>
              </w:rPr>
              <w:t>≥ 44 × 44 px (enlaces dentro de un párrafo: exentos)</w:t>
            </w:r>
          </w:p>
        </w:tc>
        <w:tc>
          <w:tcPr>
            <w:tcW w:type="dxa" w:w="3402"/>
          </w:tcPr>
          <w:p>
            <w:pPr>
              <w:spacing w:after="0"/>
            </w:pPr>
            <w:r>
              <w:rPr>
                <w:sz w:val="18"/>
              </w:rPr>
            </w:r>
            <w:r>
              <w:rPr>
                <w:b w:val="0"/>
                <w:sz w:val="18"/>
              </w:rPr>
              <w:t>Regla propia del proyecto (--alto-tactil) y WCAG 2.5.5</w:t>
            </w:r>
          </w:p>
        </w:tc>
      </w:tr>
      <w:tr>
        <w:tc>
          <w:tcPr>
            <w:tcW w:type="dxa" w:w="2381"/>
          </w:tcPr>
          <w:p>
            <w:pPr>
              <w:spacing w:after="0"/>
            </w:pPr>
            <w:r>
              <w:rPr>
                <w:sz w:val="18"/>
              </w:rPr>
            </w:r>
            <w:r>
              <w:rPr>
                <w:b w:val="0"/>
                <w:sz w:val="18"/>
              </w:rPr>
              <w:t>Tamaño de letra</w:t>
            </w:r>
          </w:p>
        </w:tc>
        <w:tc>
          <w:tcPr>
            <w:tcW w:type="dxa" w:w="3572"/>
          </w:tcPr>
          <w:p>
            <w:pPr>
              <w:spacing w:after="0"/>
            </w:pPr>
            <w:r>
              <w:rPr>
                <w:sz w:val="18"/>
              </w:rPr>
            </w:r>
            <w:r>
              <w:rPr>
                <w:b w:val="0"/>
                <w:sz w:val="18"/>
              </w:rPr>
              <w:t>≥ 12 px en todo texto visible</w:t>
            </w:r>
          </w:p>
        </w:tc>
        <w:tc>
          <w:tcPr>
            <w:tcW w:type="dxa" w:w="3402"/>
          </w:tcPr>
          <w:p>
            <w:pPr>
              <w:spacing w:after="0"/>
            </w:pPr>
            <w:r>
              <w:rPr>
                <w:sz w:val="18"/>
              </w:rPr>
            </w:r>
            <w:r>
              <w:rPr>
                <w:b w:val="0"/>
                <w:sz w:val="18"/>
              </w:rPr>
              <w:t>Legibilidad en celular</w:t>
            </w:r>
          </w:p>
        </w:tc>
      </w:tr>
      <w:tr>
        <w:tc>
          <w:tcPr>
            <w:tcW w:type="dxa" w:w="2381"/>
          </w:tcPr>
          <w:p>
            <w:pPr>
              <w:spacing w:after="0"/>
            </w:pPr>
            <w:r>
              <w:rPr>
                <w:sz w:val="18"/>
              </w:rPr>
            </w:r>
            <w:r>
              <w:rPr>
                <w:b w:val="0"/>
                <w:sz w:val="18"/>
              </w:rPr>
              <w:t>Contraste de texto</w:t>
            </w:r>
          </w:p>
        </w:tc>
        <w:tc>
          <w:tcPr>
            <w:tcW w:type="dxa" w:w="3572"/>
          </w:tcPr>
          <w:p>
            <w:pPr>
              <w:spacing w:after="0"/>
            </w:pPr>
            <w:r>
              <w:rPr>
                <w:sz w:val="18"/>
              </w:rPr>
            </w:r>
            <w:r>
              <w:rPr>
                <w:b w:val="0"/>
                <w:sz w:val="18"/>
              </w:rPr>
              <w:t>≥ 4,5:1 (texto grande: ≥ 3:1)</w:t>
            </w:r>
          </w:p>
        </w:tc>
        <w:tc>
          <w:tcPr>
            <w:tcW w:type="dxa" w:w="3402"/>
          </w:tcPr>
          <w:p>
            <w:pPr>
              <w:spacing w:after="0"/>
            </w:pPr>
            <w:r>
              <w:rPr>
                <w:sz w:val="18"/>
              </w:rPr>
            </w:r>
            <w:r>
              <w:rPr>
                <w:b w:val="0"/>
                <w:sz w:val="18"/>
              </w:rPr>
              <w:t>WCAG 1.4.3, nivel AA</w:t>
            </w:r>
          </w:p>
        </w:tc>
      </w:tr>
      <w:tr>
        <w:tc>
          <w:tcPr>
            <w:tcW w:type="dxa" w:w="2381"/>
          </w:tcPr>
          <w:p>
            <w:pPr>
              <w:spacing w:after="0"/>
            </w:pPr>
            <w:r>
              <w:rPr>
                <w:sz w:val="18"/>
              </w:rPr>
            </w:r>
            <w:r>
              <w:rPr>
                <w:b w:val="0"/>
                <w:sz w:val="18"/>
              </w:rPr>
              <w:t>Navegación por anclas</w:t>
            </w:r>
          </w:p>
        </w:tc>
        <w:tc>
          <w:tcPr>
            <w:tcW w:type="dxa" w:w="3572"/>
          </w:tcPr>
          <w:p>
            <w:pPr>
              <w:spacing w:after="0"/>
            </w:pPr>
            <w:r>
              <w:rPr>
                <w:sz w:val="18"/>
              </w:rPr>
            </w:r>
            <w:r>
              <w:rPr>
                <w:b w:val="0"/>
                <w:sz w:val="18"/>
              </w:rPr>
              <w:t>El título de la sección queda en pantalla y no lo tapa la barra</w:t>
            </w:r>
          </w:p>
        </w:tc>
        <w:tc>
          <w:tcPr>
            <w:tcW w:type="dxa" w:w="3402"/>
          </w:tcPr>
          <w:p>
            <w:pPr>
              <w:spacing w:after="0"/>
            </w:pPr>
            <w:r>
              <w:rPr>
                <w:sz w:val="18"/>
              </w:rPr>
            </w:r>
            <w:r>
              <w:rPr>
                <w:b w:val="0"/>
                <w:sz w:val="18"/>
              </w:rPr>
              <w:t>Usabilidad</w:t>
            </w:r>
          </w:p>
        </w:tc>
      </w:tr>
      <w:tr>
        <w:tc>
          <w:tcPr>
            <w:tcW w:type="dxa" w:w="2381"/>
          </w:tcPr>
          <w:p>
            <w:pPr>
              <w:spacing w:after="0"/>
            </w:pPr>
            <w:r>
              <w:rPr>
                <w:sz w:val="18"/>
              </w:rPr>
            </w:r>
            <w:r>
              <w:rPr>
                <w:b w:val="0"/>
                <w:sz w:val="18"/>
              </w:rPr>
              <w:t>Barra inferior fija</w:t>
            </w:r>
          </w:p>
        </w:tc>
        <w:tc>
          <w:tcPr>
            <w:tcW w:type="dxa" w:w="3572"/>
          </w:tcPr>
          <w:p>
            <w:pPr>
              <w:spacing w:after="0"/>
            </w:pPr>
            <w:r>
              <w:rPr>
                <w:sz w:val="18"/>
              </w:rPr>
            </w:r>
            <w:r>
              <w:rPr>
                <w:b w:val="0"/>
                <w:sz w:val="18"/>
              </w:rPr>
              <w:t>No tapa el final del pie de página</w:t>
            </w:r>
          </w:p>
        </w:tc>
        <w:tc>
          <w:tcPr>
            <w:tcW w:type="dxa" w:w="3402"/>
          </w:tcPr>
          <w:p>
            <w:pPr>
              <w:spacing w:after="0"/>
            </w:pPr>
            <w:r>
              <w:rPr>
                <w:sz w:val="18"/>
              </w:rPr>
            </w:r>
            <w:r>
              <w:rPr>
                <w:b w:val="0"/>
                <w:sz w:val="18"/>
              </w:rPr>
              <w:t>Usabilidad</w:t>
            </w:r>
          </w:p>
        </w:tc>
      </w:tr>
      <w:tr>
        <w:tc>
          <w:tcPr>
            <w:tcW w:type="dxa" w:w="2381"/>
          </w:tcPr>
          <w:p>
            <w:pPr>
              <w:spacing w:after="0"/>
            </w:pPr>
            <w:r>
              <w:rPr>
                <w:sz w:val="18"/>
              </w:rPr>
            </w:r>
            <w:r>
              <w:rPr>
                <w:b w:val="0"/>
                <w:sz w:val="18"/>
              </w:rPr>
              <w:t>Disposición por corte</w:t>
            </w:r>
          </w:p>
        </w:tc>
        <w:tc>
          <w:tcPr>
            <w:tcW w:type="dxa" w:w="3572"/>
          </w:tcPr>
          <w:p>
            <w:pPr>
              <w:spacing w:after="0"/>
            </w:pPr>
            <w:r>
              <w:rPr>
                <w:sz w:val="18"/>
              </w:rPr>
            </w:r>
            <w:r>
              <w:rPr>
                <w:b w:val="0"/>
                <w:sz w:val="18"/>
              </w:rPr>
              <w:t>Cada componente cambia en el corte previsto (tabla del punto 5)</w:t>
            </w:r>
          </w:p>
        </w:tc>
        <w:tc>
          <w:tcPr>
            <w:tcW w:type="dxa" w:w="3402"/>
          </w:tcPr>
          <w:p>
            <w:pPr>
              <w:spacing w:after="0"/>
            </w:pPr>
            <w:r>
              <w:rPr>
                <w:sz w:val="18"/>
              </w:rPr>
            </w:r>
            <w:r>
              <w:rPr>
                <w:b w:val="0"/>
                <w:sz w:val="18"/>
              </w:rPr>
              <w:t>Diseño de interfaz del Sprint 1</w:t>
            </w:r>
          </w:p>
        </w:tc>
      </w:tr>
      <w:tr>
        <w:tc>
          <w:tcPr>
            <w:tcW w:type="dxa" w:w="2381"/>
          </w:tcPr>
          <w:p>
            <w:pPr>
              <w:spacing w:after="0"/>
            </w:pPr>
            <w:r>
              <w:rPr>
                <w:sz w:val="18"/>
              </w:rPr>
            </w:r>
            <w:r>
              <w:rPr>
                <w:b w:val="0"/>
                <w:sz w:val="18"/>
              </w:rPr>
              <w:t>Checkout simulado</w:t>
            </w:r>
          </w:p>
        </w:tc>
        <w:tc>
          <w:tcPr>
            <w:tcW w:type="dxa" w:w="3572"/>
          </w:tcPr>
          <w:p>
            <w:pPr>
              <w:spacing w:after="0"/>
            </w:pPr>
            <w:r>
              <w:rPr>
                <w:sz w:val="18"/>
              </w:rPr>
            </w:r>
            <w:r>
              <w:rPr>
                <w:b w:val="0"/>
                <w:sz w:val="18"/>
              </w:rPr>
              <w:t>Bloquea datos inválidos, confirma, borra el formulario y no envía nada por la red</w:t>
            </w:r>
          </w:p>
        </w:tc>
        <w:tc>
          <w:tcPr>
            <w:tcW w:type="dxa" w:w="3402"/>
          </w:tcPr>
          <w:p>
            <w:pPr>
              <w:spacing w:after="0"/>
            </w:pPr>
            <w:r>
              <w:rPr>
                <w:sz w:val="18"/>
              </w:rPr>
            </w:r>
            <w:r>
              <w:rPr>
                <w:b w:val="0"/>
                <w:sz w:val="18"/>
              </w:rPr>
              <w:t>Política de privacidad, cláusulas 2 y 8</w:t>
            </w:r>
          </w:p>
        </w:tc>
      </w:tr>
    </w:tbl>
    <w:p/>
    <w:p>
      <w:pPr>
        <w:pStyle w:val="Heading1"/>
      </w:pPr>
      <w:r>
        <w:t>3. Resultados de la primera ronda</w:t>
      </w:r>
    </w:p>
    <w:p>
      <w:r>
        <w:rPr>
          <w:b w:val="0"/>
        </w:rPr>
        <w:t>La primera ronda encontró seis problemas. Ninguno impedía comprar, pero cuatro incumplían un criterio de accesibilidad y uno rompía la disposición del carrito en celulares.</w:t>
      </w:r>
    </w:p>
    <w:tbl>
      <w:tblPr>
        <w:tblStyle w:val="TableGrid"/>
        <w:tblW w:type="auto" w:w="0"/>
        <w:tblLook w:firstColumn="1" w:firstRow="1" w:lastColumn="0" w:lastRow="0" w:noHBand="0" w:noVBand="1" w:val="04A0"/>
      </w:tblPr>
      <w:tblGrid>
        <w:gridCol w:w="2340"/>
        <w:gridCol w:w="2340"/>
        <w:gridCol w:w="2340"/>
        <w:gridCol w:w="2340"/>
      </w:tblGrid>
      <w:tr>
        <w:tc>
          <w:tcPr>
            <w:tcW w:type="dxa" w:w="680"/>
            <w:shd w:val="clear" w:color="auto" w:fill="2F4B3C"/>
          </w:tcPr>
          <w:p>
            <w:pPr>
              <w:spacing w:after="0"/>
            </w:pPr>
            <w:r>
              <w:rPr>
                <w:b/>
                <w:color w:val="FFFFFF"/>
                <w:sz w:val="18"/>
              </w:rPr>
            </w:r>
            <w:r>
              <w:rPr>
                <w:b/>
                <w:color w:val="FFFFFF"/>
                <w:sz w:val="18"/>
              </w:rPr>
              <w:t>N.º</w:t>
            </w:r>
          </w:p>
        </w:tc>
        <w:tc>
          <w:tcPr>
            <w:tcW w:type="dxa" w:w="4706"/>
            <w:shd w:val="clear" w:color="auto" w:fill="2F4B3C"/>
          </w:tcPr>
          <w:p>
            <w:pPr>
              <w:spacing w:after="0"/>
            </w:pPr>
            <w:r>
              <w:rPr>
                <w:b/>
                <w:color w:val="FFFFFF"/>
                <w:sz w:val="18"/>
              </w:rPr>
            </w:r>
            <w:r>
              <w:rPr>
                <w:b/>
                <w:color w:val="FFFFFF"/>
                <w:sz w:val="18"/>
              </w:rPr>
              <w:t>Hallazgo</w:t>
            </w:r>
          </w:p>
        </w:tc>
        <w:tc>
          <w:tcPr>
            <w:tcW w:type="dxa" w:w="2381"/>
            <w:shd w:val="clear" w:color="auto" w:fill="2F4B3C"/>
          </w:tcPr>
          <w:p>
            <w:pPr>
              <w:spacing w:after="0"/>
            </w:pPr>
            <w:r>
              <w:rPr>
                <w:b/>
                <w:color w:val="FFFFFF"/>
                <w:sz w:val="18"/>
              </w:rPr>
            </w:r>
            <w:r>
              <w:rPr>
                <w:b/>
                <w:color w:val="FFFFFF"/>
                <w:sz w:val="18"/>
              </w:rPr>
              <w:t>Dónde</w:t>
            </w:r>
          </w:p>
        </w:tc>
        <w:tc>
          <w:tcPr>
            <w:tcW w:type="dxa" w:w="1587"/>
            <w:shd w:val="clear" w:color="auto" w:fill="2F4B3C"/>
          </w:tcPr>
          <w:p>
            <w:pPr>
              <w:spacing w:after="0"/>
            </w:pPr>
            <w:r>
              <w:rPr>
                <w:b/>
                <w:color w:val="FFFFFF"/>
                <w:sz w:val="18"/>
              </w:rPr>
            </w:r>
            <w:r>
              <w:rPr>
                <w:b/>
                <w:color w:val="FFFFFF"/>
                <w:sz w:val="18"/>
              </w:rPr>
              <w:t>Criterio</w:t>
            </w:r>
          </w:p>
        </w:tc>
      </w:tr>
      <w:tr>
        <w:tc>
          <w:tcPr>
            <w:tcW w:type="dxa" w:w="680"/>
          </w:tcPr>
          <w:p>
            <w:pPr>
              <w:spacing w:after="0"/>
            </w:pPr>
            <w:r>
              <w:rPr>
                <w:sz w:val="18"/>
              </w:rPr>
            </w:r>
            <w:r>
              <w:rPr>
                <w:b w:val="0"/>
                <w:sz w:val="18"/>
              </w:rPr>
              <w:t>H1</w:t>
            </w:r>
          </w:p>
        </w:tc>
        <w:tc>
          <w:tcPr>
            <w:tcW w:type="dxa" w:w="4706"/>
          </w:tcPr>
          <w:p>
            <w:pPr>
              <w:spacing w:after="0"/>
            </w:pPr>
            <w:r>
              <w:rPr>
                <w:sz w:val="18"/>
              </w:rPr>
            </w:r>
            <w:r>
              <w:rPr>
                <w:b w:val="0"/>
                <w:sz w:val="18"/>
              </w:rPr>
              <w:t>Desborde horizontal de 4 px: el botón «Buscar» se sale del borde derecho.</w:t>
            </w:r>
          </w:p>
        </w:tc>
        <w:tc>
          <w:tcPr>
            <w:tcW w:type="dxa" w:w="2381"/>
          </w:tcPr>
          <w:p>
            <w:pPr>
              <w:spacing w:after="0"/>
            </w:pPr>
            <w:r>
              <w:rPr>
                <w:sz w:val="18"/>
              </w:rPr>
            </w:r>
            <w:r>
              <w:rPr>
                <w:b w:val="0"/>
                <w:sz w:val="18"/>
              </w:rPr>
              <w:t>Encabezado, 320 px</w:t>
            </w:r>
          </w:p>
        </w:tc>
        <w:tc>
          <w:tcPr>
            <w:tcW w:type="dxa" w:w="1587"/>
          </w:tcPr>
          <w:p>
            <w:pPr>
              <w:spacing w:after="0"/>
            </w:pPr>
            <w:r>
              <w:rPr>
                <w:sz w:val="18"/>
              </w:rPr>
            </w:r>
            <w:r>
              <w:rPr>
                <w:b w:val="0"/>
                <w:sz w:val="18"/>
              </w:rPr>
              <w:t>Reflujo</w:t>
            </w:r>
          </w:p>
        </w:tc>
      </w:tr>
      <w:tr>
        <w:tc>
          <w:tcPr>
            <w:tcW w:type="dxa" w:w="680"/>
          </w:tcPr>
          <w:p>
            <w:pPr>
              <w:spacing w:after="0"/>
            </w:pPr>
            <w:r>
              <w:rPr>
                <w:sz w:val="18"/>
              </w:rPr>
            </w:r>
            <w:r>
              <w:rPr>
                <w:b w:val="0"/>
                <w:sz w:val="18"/>
              </w:rPr>
              <w:t>H2</w:t>
            </w:r>
          </w:p>
        </w:tc>
        <w:tc>
          <w:tcPr>
            <w:tcW w:type="dxa" w:w="4706"/>
          </w:tcPr>
          <w:p>
            <w:pPr>
              <w:spacing w:after="0"/>
            </w:pPr>
            <w:r>
              <w:rPr>
                <w:sz w:val="18"/>
              </w:rPr>
            </w:r>
            <w:r>
              <w:rPr>
                <w:b w:val="0"/>
                <w:sz w:val="18"/>
              </w:rPr>
              <w:t>Los renglones del carrito ocupan solo el 65 % del ancho de la tabla: el precio queda corrido a la izquierda y las líneas divisorias, cortadas.</w:t>
            </w:r>
          </w:p>
        </w:tc>
        <w:tc>
          <w:tcPr>
            <w:tcW w:type="dxa" w:w="2381"/>
          </w:tcPr>
          <w:p>
            <w:pPr>
              <w:spacing w:after="0"/>
            </w:pPr>
            <w:r>
              <w:rPr>
                <w:sz w:val="18"/>
              </w:rPr>
            </w:r>
            <w:r>
              <w:rPr>
                <w:b w:val="0"/>
                <w:sz w:val="18"/>
              </w:rPr>
              <w:t>Carrito, 320 a 599 px</w:t>
            </w:r>
          </w:p>
        </w:tc>
        <w:tc>
          <w:tcPr>
            <w:tcW w:type="dxa" w:w="1587"/>
          </w:tcPr>
          <w:p>
            <w:pPr>
              <w:spacing w:after="0"/>
            </w:pPr>
            <w:r>
              <w:rPr>
                <w:sz w:val="18"/>
              </w:rPr>
            </w:r>
            <w:r>
              <w:rPr>
                <w:b w:val="0"/>
                <w:sz w:val="18"/>
              </w:rPr>
              <w:t>Disposición</w:t>
            </w:r>
          </w:p>
        </w:tc>
      </w:tr>
      <w:tr>
        <w:tc>
          <w:tcPr>
            <w:tcW w:type="dxa" w:w="680"/>
          </w:tcPr>
          <w:p>
            <w:pPr>
              <w:spacing w:after="0"/>
            </w:pPr>
            <w:r>
              <w:rPr>
                <w:sz w:val="18"/>
              </w:rPr>
            </w:r>
            <w:r>
              <w:rPr>
                <w:b w:val="0"/>
                <w:sz w:val="18"/>
              </w:rPr>
              <w:t>H3</w:t>
            </w:r>
          </w:p>
        </w:tc>
        <w:tc>
          <w:tcPr>
            <w:tcW w:type="dxa" w:w="4706"/>
          </w:tcPr>
          <w:p>
            <w:pPr>
              <w:spacing w:after="0"/>
            </w:pPr>
            <w:r>
              <w:rPr>
                <w:sz w:val="18"/>
              </w:rPr>
            </w:r>
            <w:r>
              <w:rPr>
                <w:b w:val="0"/>
                <w:sz w:val="18"/>
              </w:rPr>
              <w:t>Precios en ámbar (#A9682A) sobre las tarjetas: contraste de 4,28:1.</w:t>
            </w:r>
          </w:p>
        </w:tc>
        <w:tc>
          <w:tcPr>
            <w:tcW w:type="dxa" w:w="2381"/>
          </w:tcPr>
          <w:p>
            <w:pPr>
              <w:spacing w:after="0"/>
            </w:pPr>
            <w:r>
              <w:rPr>
                <w:sz w:val="18"/>
              </w:rPr>
            </w:r>
            <w:r>
              <w:rPr>
                <w:b w:val="0"/>
                <w:sz w:val="18"/>
              </w:rPr>
              <w:t>Tarjetas de producto, todos los anchos</w:t>
            </w:r>
          </w:p>
        </w:tc>
        <w:tc>
          <w:tcPr>
            <w:tcW w:type="dxa" w:w="1587"/>
          </w:tcPr>
          <w:p>
            <w:pPr>
              <w:spacing w:after="0"/>
            </w:pPr>
            <w:r>
              <w:rPr>
                <w:sz w:val="18"/>
              </w:rPr>
            </w:r>
            <w:r>
              <w:rPr>
                <w:b w:val="0"/>
                <w:sz w:val="18"/>
              </w:rPr>
              <w:t>Contraste</w:t>
            </w:r>
          </w:p>
        </w:tc>
      </w:tr>
      <w:tr>
        <w:tc>
          <w:tcPr>
            <w:tcW w:type="dxa" w:w="680"/>
          </w:tcPr>
          <w:p>
            <w:pPr>
              <w:spacing w:after="0"/>
            </w:pPr>
            <w:r>
              <w:rPr>
                <w:sz w:val="18"/>
              </w:rPr>
            </w:r>
            <w:r>
              <w:rPr>
                <w:b w:val="0"/>
                <w:sz w:val="18"/>
              </w:rPr>
              <w:t>H4</w:t>
            </w:r>
          </w:p>
        </w:tc>
        <w:tc>
          <w:tcPr>
            <w:tcW w:type="dxa" w:w="4706"/>
          </w:tcPr>
          <w:p>
            <w:pPr>
              <w:spacing w:after="0"/>
            </w:pPr>
            <w:r>
              <w:rPr>
                <w:sz w:val="18"/>
              </w:rPr>
            </w:r>
            <w:r>
              <w:rPr>
                <w:b w:val="0"/>
                <w:sz w:val="18"/>
              </w:rPr>
              <w:t>Texto chico del pie (#6E7C4F sobre fondo oscuro): contraste de 3,77:1.</w:t>
            </w:r>
          </w:p>
        </w:tc>
        <w:tc>
          <w:tcPr>
            <w:tcW w:type="dxa" w:w="2381"/>
          </w:tcPr>
          <w:p>
            <w:pPr>
              <w:spacing w:after="0"/>
            </w:pPr>
            <w:r>
              <w:rPr>
                <w:sz w:val="18"/>
              </w:rPr>
            </w:r>
            <w:r>
              <w:rPr>
                <w:b w:val="0"/>
                <w:sz w:val="18"/>
              </w:rPr>
              <w:t>Pie de las dos páginas</w:t>
            </w:r>
          </w:p>
        </w:tc>
        <w:tc>
          <w:tcPr>
            <w:tcW w:type="dxa" w:w="1587"/>
          </w:tcPr>
          <w:p>
            <w:pPr>
              <w:spacing w:after="0"/>
            </w:pPr>
            <w:r>
              <w:rPr>
                <w:sz w:val="18"/>
              </w:rPr>
            </w:r>
            <w:r>
              <w:rPr>
                <w:b w:val="0"/>
                <w:sz w:val="18"/>
              </w:rPr>
              <w:t>Contraste</w:t>
            </w:r>
          </w:p>
        </w:tc>
      </w:tr>
      <w:tr>
        <w:tc>
          <w:tcPr>
            <w:tcW w:type="dxa" w:w="680"/>
          </w:tcPr>
          <w:p>
            <w:pPr>
              <w:spacing w:after="0"/>
            </w:pPr>
            <w:r>
              <w:rPr>
                <w:sz w:val="18"/>
              </w:rPr>
            </w:r>
            <w:r>
              <w:rPr>
                <w:b w:val="0"/>
                <w:sz w:val="18"/>
              </w:rPr>
              <w:t>H5</w:t>
            </w:r>
          </w:p>
        </w:tc>
        <w:tc>
          <w:tcPr>
            <w:tcW w:type="dxa" w:w="4706"/>
          </w:tcPr>
          <w:p>
            <w:pPr>
              <w:spacing w:after="0"/>
            </w:pPr>
            <w:r>
              <w:rPr>
                <w:sz w:val="18"/>
              </w:rPr>
            </w:r>
            <w:r>
              <w:rPr>
                <w:b w:val="0"/>
                <w:sz w:val="18"/>
              </w:rPr>
              <w:t>Sello «Imagen con IA» en 11,2 px y «(opcional)» del teléfono en 11,3 px.</w:t>
            </w:r>
          </w:p>
        </w:tc>
        <w:tc>
          <w:tcPr>
            <w:tcW w:type="dxa" w:w="2381"/>
          </w:tcPr>
          <w:p>
            <w:pPr>
              <w:spacing w:after="0"/>
            </w:pPr>
            <w:r>
              <w:rPr>
                <w:sz w:val="18"/>
              </w:rPr>
            </w:r>
            <w:r>
              <w:rPr>
                <w:b w:val="0"/>
                <w:sz w:val="18"/>
              </w:rPr>
              <w:t>Tarjetas y checkout</w:t>
            </w:r>
          </w:p>
        </w:tc>
        <w:tc>
          <w:tcPr>
            <w:tcW w:type="dxa" w:w="1587"/>
          </w:tcPr>
          <w:p>
            <w:pPr>
              <w:spacing w:after="0"/>
            </w:pPr>
            <w:r>
              <w:rPr>
                <w:sz w:val="18"/>
              </w:rPr>
            </w:r>
            <w:r>
              <w:rPr>
                <w:b w:val="0"/>
                <w:sz w:val="18"/>
              </w:rPr>
              <w:t>Tamaño de letra</w:t>
            </w:r>
          </w:p>
        </w:tc>
      </w:tr>
      <w:tr>
        <w:tc>
          <w:tcPr>
            <w:tcW w:type="dxa" w:w="680"/>
          </w:tcPr>
          <w:p>
            <w:pPr>
              <w:spacing w:after="0"/>
            </w:pPr>
            <w:r>
              <w:rPr>
                <w:sz w:val="18"/>
              </w:rPr>
            </w:r>
            <w:r>
              <w:rPr>
                <w:b w:val="0"/>
                <w:sz w:val="18"/>
              </w:rPr>
              <w:t>H6</w:t>
            </w:r>
          </w:p>
        </w:tc>
        <w:tc>
          <w:tcPr>
            <w:tcW w:type="dxa" w:w="4706"/>
          </w:tcPr>
          <w:p>
            <w:pPr>
              <w:spacing w:after="0"/>
            </w:pPr>
            <w:r>
              <w:rPr>
                <w:sz w:val="18"/>
              </w:rPr>
            </w:r>
            <w:r>
              <w:rPr>
                <w:b w:val="0"/>
                <w:sz w:val="18"/>
              </w:rPr>
              <w:t>Logo «Woodbird» de 41 px de alto y enlace «Inicio» de 37 px de ancho en escritorio.</w:t>
            </w:r>
          </w:p>
        </w:tc>
        <w:tc>
          <w:tcPr>
            <w:tcW w:type="dxa" w:w="2381"/>
          </w:tcPr>
          <w:p>
            <w:pPr>
              <w:spacing w:after="0"/>
            </w:pPr>
            <w:r>
              <w:rPr>
                <w:sz w:val="18"/>
              </w:rPr>
            </w:r>
            <w:r>
              <w:rPr>
                <w:b w:val="0"/>
                <w:sz w:val="18"/>
              </w:rPr>
              <w:t>Encabezado y barra superior</w:t>
            </w:r>
          </w:p>
        </w:tc>
        <w:tc>
          <w:tcPr>
            <w:tcW w:type="dxa" w:w="1587"/>
          </w:tcPr>
          <w:p>
            <w:pPr>
              <w:spacing w:after="0"/>
            </w:pPr>
            <w:r>
              <w:rPr>
                <w:sz w:val="18"/>
              </w:rPr>
            </w:r>
            <w:r>
              <w:rPr>
                <w:b w:val="0"/>
                <w:sz w:val="18"/>
              </w:rPr>
              <w:t>Objetivos táctiles</w:t>
            </w:r>
          </w:p>
        </w:tc>
      </w:tr>
    </w:tbl>
    <w:p/>
    <w:p>
      <w:r>
        <w:rPr>
          <w:b w:val="0"/>
        </w:rPr>
        <w:t>El hallazgo H2 no lo detectó ninguna medición automática en la primera versión del script: apareció al revisar las capturas. Por eso se agregó una medición nueva (ancho de cada renglón respecto de la tabla) y quedó incorporada a la batería para las próximas pruebas.</w:t>
      </w:r>
    </w:p>
    <w:p>
      <w:r>
        <w:rPr>
          <w:b w:val="0"/>
        </w:rPr>
        <w:t>El resto de los criterios se cumplió desde el principio en las 22 combinaciones: la navegación por anclas, la barra inferior fija, el carrusel deslizable con encaje por tarjeta y el checkout simulado.</w:t>
      </w:r>
    </w:p>
    <w:p>
      <w:pPr>
        <w:pStyle w:val="Heading1"/>
      </w:pPr>
      <w:r>
        <w:t>4. Correcciones aplicadas</w:t>
      </w:r>
    </w:p>
    <w:p>
      <w:r>
        <w:rPr>
          <w:b w:val="0"/>
        </w:rPr>
        <w:t xml:space="preserve">Todas las correcciones se hicieron en </w:t>
      </w:r>
      <w:r>
        <w:rPr>
          <w:b/>
        </w:rPr>
        <w:t>css/estilos.css</w:t>
      </w:r>
      <w:r>
        <w:rPr>
          <w:b w:val="0"/>
        </w:rPr>
        <w:t>, sin tocar el HTML ni agregar frameworks.</w:t>
      </w:r>
    </w:p>
    <w:tbl>
      <w:tblPr>
        <w:tblStyle w:val="TableGrid"/>
        <w:tblW w:type="auto" w:w="0"/>
        <w:tblLook w:firstColumn="1" w:firstRow="1" w:lastColumn="0" w:lastRow="0" w:noHBand="0" w:noVBand="1" w:val="04A0"/>
      </w:tblPr>
      <w:tblGrid>
        <w:gridCol w:w="3120"/>
        <w:gridCol w:w="3120"/>
        <w:gridCol w:w="3120"/>
      </w:tblGrid>
      <w:tr>
        <w:tc>
          <w:tcPr>
            <w:tcW w:type="dxa" w:w="680"/>
            <w:shd w:val="clear" w:color="auto" w:fill="2F4B3C"/>
          </w:tcPr>
          <w:p>
            <w:pPr>
              <w:spacing w:after="0"/>
            </w:pPr>
            <w:r>
              <w:rPr>
                <w:b/>
                <w:color w:val="FFFFFF"/>
                <w:sz w:val="18"/>
              </w:rPr>
            </w:r>
            <w:r>
              <w:rPr>
                <w:b/>
                <w:color w:val="FFFFFF"/>
                <w:sz w:val="18"/>
              </w:rPr>
              <w:t>N.º</w:t>
            </w:r>
          </w:p>
        </w:tc>
        <w:tc>
          <w:tcPr>
            <w:tcW w:type="dxa" w:w="4422"/>
            <w:shd w:val="clear" w:color="auto" w:fill="2F4B3C"/>
          </w:tcPr>
          <w:p>
            <w:pPr>
              <w:spacing w:after="0"/>
            </w:pPr>
            <w:r>
              <w:rPr>
                <w:b/>
                <w:color w:val="FFFFFF"/>
                <w:sz w:val="18"/>
              </w:rPr>
            </w:r>
            <w:r>
              <w:rPr>
                <w:b/>
                <w:color w:val="FFFFFF"/>
                <w:sz w:val="18"/>
              </w:rPr>
              <w:t>Causa</w:t>
            </w:r>
          </w:p>
        </w:tc>
        <w:tc>
          <w:tcPr>
            <w:tcW w:type="dxa" w:w="4252"/>
            <w:shd w:val="clear" w:color="auto" w:fill="2F4B3C"/>
          </w:tcPr>
          <w:p>
            <w:pPr>
              <w:spacing w:after="0"/>
            </w:pPr>
            <w:r>
              <w:rPr>
                <w:b/>
                <w:color w:val="FFFFFF"/>
                <w:sz w:val="18"/>
              </w:rPr>
            </w:r>
            <w:r>
              <w:rPr>
                <w:b/>
                <w:color w:val="FFFFFF"/>
                <w:sz w:val="18"/>
              </w:rPr>
              <w:t>Corrección</w:t>
            </w:r>
          </w:p>
        </w:tc>
      </w:tr>
      <w:tr>
        <w:tc>
          <w:tcPr>
            <w:tcW w:type="dxa" w:w="680"/>
          </w:tcPr>
          <w:p>
            <w:pPr>
              <w:spacing w:after="0"/>
            </w:pPr>
            <w:r>
              <w:rPr>
                <w:sz w:val="18"/>
              </w:rPr>
            </w:r>
            <w:r>
              <w:rPr>
                <w:b w:val="0"/>
                <w:sz w:val="18"/>
              </w:rPr>
              <w:t>H1</w:t>
            </w:r>
          </w:p>
        </w:tc>
        <w:tc>
          <w:tcPr>
            <w:tcW w:type="dxa" w:w="4422"/>
          </w:tcPr>
          <w:p>
            <w:pPr>
              <w:spacing w:after="0"/>
            </w:pPr>
            <w:r>
              <w:rPr>
                <w:sz w:val="18"/>
              </w:rPr>
            </w:r>
            <w:r>
              <w:rPr>
                <w:b w:val="0"/>
                <w:sz w:val="18"/>
              </w:rPr>
              <w:t>El formulario de búsqueda es un ítem flexible del encabezado. Su ancho mínimo automático era el del campo de texto, así que no se achicaba por debajo de 304 px aunque solo había 284.</w:t>
            </w:r>
          </w:p>
        </w:tc>
        <w:tc>
          <w:tcPr>
            <w:tcW w:type="dxa" w:w="4252"/>
          </w:tcPr>
          <w:p>
            <w:pPr>
              <w:spacing w:after="0"/>
            </w:pPr>
            <w:r>
              <w:rPr>
                <w:sz w:val="18"/>
              </w:rPr>
            </w:r>
            <w:r>
              <w:rPr>
                <w:b w:val="0"/>
                <w:sz w:val="18"/>
              </w:rPr>
              <w:t>min-width: 0 en .buscador.</w:t>
            </w:r>
          </w:p>
        </w:tc>
      </w:tr>
      <w:tr>
        <w:tc>
          <w:tcPr>
            <w:tcW w:type="dxa" w:w="680"/>
          </w:tcPr>
          <w:p>
            <w:pPr>
              <w:spacing w:after="0"/>
            </w:pPr>
            <w:r>
              <w:rPr>
                <w:sz w:val="18"/>
              </w:rPr>
            </w:r>
            <w:r>
              <w:rPr>
                <w:b w:val="0"/>
                <w:sz w:val="18"/>
              </w:rPr>
              <w:t>H2</w:t>
            </w:r>
          </w:p>
        </w:tc>
        <w:tc>
          <w:tcPr>
            <w:tcW w:type="dxa" w:w="4422"/>
          </w:tcPr>
          <w:p>
            <w:pPr>
              <w:spacing w:after="0"/>
            </w:pPr>
            <w:r>
              <w:rPr>
                <w:sz w:val="18"/>
              </w:rPr>
            </w:r>
            <w:r>
              <w:rPr>
                <w:b w:val="0"/>
                <w:sz w:val="18"/>
              </w:rPr>
              <w:t>Cada renglón (tr) pasaba a display: grid dentro de una tabla de cuatro columnas (las define el colspan del pie), y quedaba encerrado en la primera.</w:t>
            </w:r>
          </w:p>
        </w:tc>
        <w:tc>
          <w:tcPr>
            <w:tcW w:type="dxa" w:w="4252"/>
          </w:tcPr>
          <w:p>
            <w:pPr>
              <w:spacing w:after="0"/>
            </w:pPr>
            <w:r>
              <w:rPr>
                <w:sz w:val="18"/>
              </w:rPr>
            </w:r>
            <w:r>
              <w:rPr>
                <w:b w:val="0"/>
                <w:sz w:val="18"/>
              </w:rPr>
              <w:t>Por debajo de 600 px la tabla, el tbody y el tfoot pasan a display: block, y las filas del pie también usan grilla.</w:t>
            </w:r>
          </w:p>
        </w:tc>
      </w:tr>
      <w:tr>
        <w:tc>
          <w:tcPr>
            <w:tcW w:type="dxa" w:w="680"/>
          </w:tcPr>
          <w:p>
            <w:pPr>
              <w:spacing w:after="0"/>
            </w:pPr>
            <w:r>
              <w:rPr>
                <w:sz w:val="18"/>
              </w:rPr>
            </w:r>
            <w:r>
              <w:rPr>
                <w:b w:val="0"/>
                <w:sz w:val="18"/>
              </w:rPr>
              <w:t>H3</w:t>
            </w:r>
          </w:p>
        </w:tc>
        <w:tc>
          <w:tcPr>
            <w:tcW w:type="dxa" w:w="4422"/>
          </w:tcPr>
          <w:p>
            <w:pPr>
              <w:spacing w:after="0"/>
            </w:pPr>
            <w:r>
              <w:rPr>
                <w:sz w:val="18"/>
              </w:rPr>
            </w:r>
            <w:r>
              <w:rPr>
                <w:b w:val="0"/>
                <w:sz w:val="18"/>
              </w:rPr>
              <w:t>El tono ámbar era demasiado claro para texto de 16,8 px.</w:t>
            </w:r>
          </w:p>
        </w:tc>
        <w:tc>
          <w:tcPr>
            <w:tcW w:type="dxa" w:w="4252"/>
          </w:tcPr>
          <w:p>
            <w:pPr>
              <w:spacing w:after="0"/>
            </w:pPr>
            <w:r>
              <w:rPr>
                <w:sz w:val="18"/>
              </w:rPr>
            </w:r>
            <w:r>
              <w:rPr>
                <w:b w:val="0"/>
                <w:sz w:val="18"/>
              </w:rPr>
              <w:t>--resina pasa a #985E26: 5,07:1 sobre las tarjetas y 4,57:1 sobre el fondo de página. Mantiene el tono ámbar de la paleta.</w:t>
            </w:r>
          </w:p>
        </w:tc>
      </w:tr>
      <w:tr>
        <w:tc>
          <w:tcPr>
            <w:tcW w:type="dxa" w:w="680"/>
          </w:tcPr>
          <w:p>
            <w:pPr>
              <w:spacing w:after="0"/>
            </w:pPr>
            <w:r>
              <w:rPr>
                <w:sz w:val="18"/>
              </w:rPr>
            </w:r>
            <w:r>
              <w:rPr>
                <w:b w:val="0"/>
                <w:sz w:val="18"/>
              </w:rPr>
              <w:t>H4</w:t>
            </w:r>
          </w:p>
        </w:tc>
        <w:tc>
          <w:tcPr>
            <w:tcW w:type="dxa" w:w="4422"/>
          </w:tcPr>
          <w:p>
            <w:pPr>
              <w:spacing w:after="0"/>
            </w:pPr>
            <w:r>
              <w:rPr>
                <w:sz w:val="18"/>
              </w:rPr>
            </w:r>
            <w:r>
              <w:rPr>
                <w:b w:val="0"/>
                <w:sz w:val="18"/>
              </w:rPr>
              <w:t>El oliva del pie era demasiado oscuro sobre el fondo verde-negro.</w:t>
            </w:r>
          </w:p>
        </w:tc>
        <w:tc>
          <w:tcPr>
            <w:tcW w:type="dxa" w:w="4252"/>
          </w:tcPr>
          <w:p>
            <w:pPr>
              <w:spacing w:after="0"/>
            </w:pPr>
            <w:r>
              <w:rPr>
                <w:sz w:val="18"/>
              </w:rPr>
            </w:r>
            <w:r>
              <w:rPr>
                <w:b w:val="0"/>
                <w:sz w:val="18"/>
              </w:rPr>
              <w:t>--musgo pasa a #84955F: 5,21:1.</w:t>
            </w:r>
          </w:p>
        </w:tc>
      </w:tr>
      <w:tr>
        <w:tc>
          <w:tcPr>
            <w:tcW w:type="dxa" w:w="680"/>
          </w:tcPr>
          <w:p>
            <w:pPr>
              <w:spacing w:after="0"/>
            </w:pPr>
            <w:r>
              <w:rPr>
                <w:sz w:val="18"/>
              </w:rPr>
            </w:r>
            <w:r>
              <w:rPr>
                <w:b w:val="0"/>
                <w:sz w:val="18"/>
              </w:rPr>
              <w:t>H5</w:t>
            </w:r>
          </w:p>
        </w:tc>
        <w:tc>
          <w:tcPr>
            <w:tcW w:type="dxa" w:w="4422"/>
          </w:tcPr>
          <w:p>
            <w:pPr>
              <w:spacing w:after="0"/>
            </w:pPr>
            <w:r>
              <w:rPr>
                <w:sz w:val="18"/>
              </w:rPr>
            </w:r>
            <w:r>
              <w:rPr>
                <w:b w:val="0"/>
                <w:sz w:val="18"/>
              </w:rPr>
              <w:t>0,7rem y el tamaño por defecto de &lt;small&gt; dentro de una etiqueta de 0,85rem.</w:t>
            </w:r>
          </w:p>
        </w:tc>
        <w:tc>
          <w:tcPr>
            <w:tcW w:type="dxa" w:w="4252"/>
          </w:tcPr>
          <w:p>
            <w:pPr>
              <w:spacing w:after="0"/>
            </w:pPr>
            <w:r>
              <w:rPr>
                <w:sz w:val="18"/>
              </w:rPr>
            </w:r>
            <w:r>
              <w:rPr>
                <w:b w:val="0"/>
                <w:sz w:val="18"/>
              </w:rPr>
              <w:t>Sello a 0,75rem (12 px). «(opcional)» hereda el tamaño de la etiqueta y se distingue por el color gris.</w:t>
            </w:r>
          </w:p>
        </w:tc>
      </w:tr>
      <w:tr>
        <w:tc>
          <w:tcPr>
            <w:tcW w:type="dxa" w:w="680"/>
          </w:tcPr>
          <w:p>
            <w:pPr>
              <w:spacing w:after="0"/>
            </w:pPr>
            <w:r>
              <w:rPr>
                <w:sz w:val="18"/>
              </w:rPr>
            </w:r>
            <w:r>
              <w:rPr>
                <w:b w:val="0"/>
                <w:sz w:val="18"/>
              </w:rPr>
              <w:t>H6</w:t>
            </w:r>
          </w:p>
        </w:tc>
        <w:tc>
          <w:tcPr>
            <w:tcW w:type="dxa" w:w="4422"/>
          </w:tcPr>
          <w:p>
            <w:pPr>
              <w:spacing w:after="0"/>
            </w:pPr>
            <w:r>
              <w:rPr>
                <w:sz w:val="18"/>
              </w:rPr>
            </w:r>
            <w:r>
              <w:rPr>
                <w:b w:val="0"/>
                <w:sz w:val="18"/>
              </w:rPr>
              <w:t>El logo era un enlace en línea, y los enlaces de la barra de escritorio no tenían relleno lateral.</w:t>
            </w:r>
          </w:p>
        </w:tc>
        <w:tc>
          <w:tcPr>
            <w:tcW w:type="dxa" w:w="4252"/>
          </w:tcPr>
          <w:p>
            <w:pPr>
              <w:spacing w:after="0"/>
            </w:pPr>
            <w:r>
              <w:rPr>
                <w:sz w:val="18"/>
              </w:rPr>
            </w:r>
            <w:r>
              <w:rPr>
                <w:b w:val="0"/>
                <w:sz w:val="18"/>
              </w:rPr>
              <w:t>Logo con min-height: var(--alto-tactil). Enlaces de escritorio con 8 px de relleno lateral (la separación baja de 40 a 24 px para conservar el mismo aspecto).</w:t>
            </w:r>
          </w:p>
        </w:tc>
      </w:tr>
    </w:tbl>
    <w:p/>
    <w:p>
      <w:pPr>
        <w:jc w:val="center"/>
      </w:pPr>
      <w:r>
        <w:drawing>
          <wp:inline xmlns:a="http://schemas.openxmlformats.org/drawingml/2006/main" xmlns:pic="http://schemas.openxmlformats.org/drawingml/2006/picture">
            <wp:extent cx="5400000" cy="1335573"/>
            <wp:docPr id="1" name="Picture 1"/>
            <wp:cNvGraphicFramePr>
              <a:graphicFrameLocks noChangeAspect="1"/>
            </wp:cNvGraphicFramePr>
            <a:graphic>
              <a:graphicData uri="http://schemas.openxmlformats.org/drawingml/2006/picture">
                <pic:pic>
                  <pic:nvPicPr>
                    <pic:cNvPr id="0" name="fig2_buscador.png"/>
                    <pic:cNvPicPr/>
                  </pic:nvPicPr>
                  <pic:blipFill>
                    <a:blip r:embed="rId12"/>
                    <a:stretch>
                      <a:fillRect/>
                    </a:stretch>
                  </pic:blipFill>
                  <pic:spPr>
                    <a:xfrm>
                      <a:off x="0" y="0"/>
                      <a:ext cx="5400000" cy="1335573"/>
                    </a:xfrm>
                    <a:prstGeom prst="rect"/>
                  </pic:spPr>
                </pic:pic>
              </a:graphicData>
            </a:graphic>
          </wp:inline>
        </w:drawing>
      </w:r>
    </w:p>
    <w:p>
      <w:pPr>
        <w:jc w:val="center"/>
      </w:pPr>
      <w:r>
        <w:rPr>
          <w:i/>
          <w:color w:val="444444"/>
          <w:sz w:val="18"/>
        </w:rPr>
        <w:t>Figura 1. H1: encabezado a 320 px, antes y después de la corrección.</w:t>
      </w:r>
    </w:p>
    <w:p>
      <w:pPr>
        <w:jc w:val="center"/>
      </w:pPr>
      <w:r>
        <w:drawing>
          <wp:inline xmlns:a="http://schemas.openxmlformats.org/drawingml/2006/main" xmlns:pic="http://schemas.openxmlformats.org/drawingml/2006/picture">
            <wp:extent cx="4680000" cy="3923111"/>
            <wp:docPr id="2" name="Picture 2"/>
            <wp:cNvGraphicFramePr>
              <a:graphicFrameLocks noChangeAspect="1"/>
            </wp:cNvGraphicFramePr>
            <a:graphic>
              <a:graphicData uri="http://schemas.openxmlformats.org/drawingml/2006/picture">
                <pic:pic>
                  <pic:nvPicPr>
                    <pic:cNvPr id="0" name="fig3_carrito.png"/>
                    <pic:cNvPicPr/>
                  </pic:nvPicPr>
                  <pic:blipFill>
                    <a:blip r:embed="rId13"/>
                    <a:stretch>
                      <a:fillRect/>
                    </a:stretch>
                  </pic:blipFill>
                  <pic:spPr>
                    <a:xfrm>
                      <a:off x="0" y="0"/>
                      <a:ext cx="4680000" cy="3923111"/>
                    </a:xfrm>
                    <a:prstGeom prst="rect"/>
                  </pic:spPr>
                </pic:pic>
              </a:graphicData>
            </a:graphic>
          </wp:inline>
        </w:drawing>
      </w:r>
    </w:p>
    <w:p>
      <w:pPr>
        <w:jc w:val="center"/>
      </w:pPr>
      <w:r>
        <w:rPr>
          <w:i/>
          <w:color w:val="444444"/>
          <w:sz w:val="18"/>
        </w:rPr>
        <w:t>Figura 2. H2: carrito a 390 px, antes y después de la corrección.</w:t>
      </w:r>
    </w:p>
    <w:p>
      <w:pPr>
        <w:pStyle w:val="Heading1"/>
      </w:pPr>
      <w:r>
        <w:t>5. Resultados después de las correcciones</w:t>
      </w:r>
    </w:p>
    <w:p>
      <w:r>
        <w:rPr>
          <w:b w:val="0"/>
        </w:rPr>
        <w:t xml:space="preserve">Se repitió la batería completa. </w:t>
      </w:r>
      <w:r>
        <w:rPr>
          <w:b/>
        </w:rPr>
        <w:t>Las 22 combinaciones cumplen todos los criterios.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47"/>
            <w:shd w:val="clear" w:color="auto" w:fill="2F4B3C"/>
          </w:tcPr>
          <w:p>
            <w:pPr>
              <w:spacing w:after="0"/>
            </w:pPr>
            <w:r>
              <w:rPr>
                <w:b/>
                <w:color w:val="FFFFFF"/>
                <w:sz w:val="17"/>
              </w:rPr>
            </w:r>
            <w:r>
              <w:rPr>
                <w:b/>
                <w:color w:val="FFFFFF"/>
                <w:sz w:val="17"/>
              </w:rPr>
              <w:t>Página</w:t>
            </w:r>
          </w:p>
        </w:tc>
        <w:tc>
          <w:tcPr>
            <w:tcW w:type="dxa" w:w="907"/>
            <w:shd w:val="clear" w:color="auto" w:fill="2F4B3C"/>
          </w:tcPr>
          <w:p>
            <w:pPr>
              <w:spacing w:after="0"/>
            </w:pPr>
            <w:r>
              <w:rPr>
                <w:b/>
                <w:color w:val="FFFFFF"/>
                <w:sz w:val="17"/>
              </w:rPr>
            </w:r>
            <w:r>
              <w:rPr>
                <w:b/>
                <w:color w:val="FFFFFF"/>
                <w:sz w:val="17"/>
              </w:rPr>
              <w:t>Ancho</w:t>
            </w:r>
          </w:p>
        </w:tc>
        <w:tc>
          <w:tcPr>
            <w:tcW w:type="dxa" w:w="1020"/>
            <w:shd w:val="clear" w:color="auto" w:fill="2F4B3C"/>
          </w:tcPr>
          <w:p>
            <w:pPr>
              <w:spacing w:after="0"/>
            </w:pPr>
            <w:r>
              <w:rPr>
                <w:b/>
                <w:color w:val="FFFFFF"/>
                <w:sz w:val="17"/>
              </w:rPr>
            </w:r>
            <w:r>
              <w:rPr>
                <w:b/>
                <w:color w:val="FFFFFF"/>
                <w:sz w:val="17"/>
              </w:rPr>
              <w:t>Desborde</w:t>
            </w:r>
          </w:p>
        </w:tc>
        <w:tc>
          <w:tcPr>
            <w:tcW w:type="dxa" w:w="1020"/>
            <w:shd w:val="clear" w:color="auto" w:fill="2F4B3C"/>
          </w:tcPr>
          <w:p>
            <w:pPr>
              <w:spacing w:after="0"/>
            </w:pPr>
            <w:r>
              <w:rPr>
                <w:b/>
                <w:color w:val="FFFFFF"/>
                <w:sz w:val="17"/>
              </w:rPr>
            </w:r>
            <w:r>
              <w:rPr>
                <w:b/>
                <w:color w:val="FFFFFF"/>
                <w:sz w:val="17"/>
              </w:rPr>
              <w:t>Táctiles</w:t>
            </w:r>
          </w:p>
        </w:tc>
        <w:tc>
          <w:tcPr>
            <w:tcW w:type="dxa" w:w="1020"/>
            <w:shd w:val="clear" w:color="auto" w:fill="2F4B3C"/>
          </w:tcPr>
          <w:p>
            <w:pPr>
              <w:spacing w:after="0"/>
            </w:pPr>
            <w:r>
              <w:rPr>
                <w:b/>
                <w:color w:val="FFFFFF"/>
                <w:sz w:val="17"/>
              </w:rPr>
            </w:r>
            <w:r>
              <w:rPr>
                <w:b/>
                <w:color w:val="FFFFFF"/>
                <w:sz w:val="17"/>
              </w:rPr>
              <w:t>Letra</w:t>
            </w:r>
          </w:p>
        </w:tc>
        <w:tc>
          <w:tcPr>
            <w:tcW w:type="dxa" w:w="1020"/>
            <w:shd w:val="clear" w:color="auto" w:fill="2F4B3C"/>
          </w:tcPr>
          <w:p>
            <w:pPr>
              <w:spacing w:after="0"/>
            </w:pPr>
            <w:r>
              <w:rPr>
                <w:b/>
                <w:color w:val="FFFFFF"/>
                <w:sz w:val="17"/>
              </w:rPr>
            </w:r>
            <w:r>
              <w:rPr>
                <w:b/>
                <w:color w:val="FFFFFF"/>
                <w:sz w:val="17"/>
              </w:rPr>
              <w:t>Contraste</w:t>
            </w:r>
          </w:p>
        </w:tc>
        <w:tc>
          <w:tcPr>
            <w:tcW w:type="dxa" w:w="1020"/>
            <w:shd w:val="clear" w:color="auto" w:fill="2F4B3C"/>
          </w:tcPr>
          <w:p>
            <w:pPr>
              <w:spacing w:after="0"/>
            </w:pPr>
            <w:r>
              <w:rPr>
                <w:b/>
                <w:color w:val="FFFFFF"/>
                <w:sz w:val="17"/>
              </w:rPr>
            </w:r>
            <w:r>
              <w:rPr>
                <w:b/>
                <w:color w:val="FFFFFF"/>
                <w:sz w:val="17"/>
              </w:rPr>
              <w:t>Anclas</w:t>
            </w:r>
          </w:p>
        </w:tc>
        <w:tc>
          <w:tcPr>
            <w:tcW w:type="dxa" w:w="1020"/>
            <w:shd w:val="clear" w:color="auto" w:fill="2F4B3C"/>
          </w:tcPr>
          <w:p>
            <w:pPr>
              <w:spacing w:after="0"/>
            </w:pPr>
            <w:r>
              <w:rPr>
                <w:b/>
                <w:color w:val="FFFFFF"/>
                <w:sz w:val="17"/>
              </w:rPr>
            </w:r>
            <w:r>
              <w:rPr>
                <w:b/>
                <w:color w:val="FFFFFF"/>
                <w:sz w:val="17"/>
              </w:rPr>
              <w:t>Pie</w:t>
            </w:r>
          </w:p>
        </w:tc>
        <w:tc>
          <w:tcPr>
            <w:tcW w:type="dxa" w:w="1020"/>
            <w:shd w:val="clear" w:color="auto" w:fill="2F4B3C"/>
          </w:tcPr>
          <w:p>
            <w:pPr>
              <w:spacing w:after="0"/>
            </w:pPr>
            <w:r>
              <w:rPr>
                <w:b/>
                <w:color w:val="FFFFFF"/>
                <w:sz w:val="17"/>
              </w:rPr>
            </w:r>
            <w:r>
              <w:rPr>
                <w:b/>
                <w:color w:val="FFFFFF"/>
                <w:sz w:val="17"/>
              </w:rPr>
              <w:t>Checkout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320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360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390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599</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600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768</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959</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960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1024</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1366</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Inicio</w:t>
            </w:r>
          </w:p>
        </w:tc>
        <w:tc>
          <w:tcPr>
            <w:tcW w:type="dxa" w:w="907"/>
          </w:tcPr>
          <w:p>
            <w:pPr>
              <w:spacing w:after="0"/>
            </w:pPr>
            <w:r>
              <w:rPr>
                <w:sz w:val="17"/>
              </w:rPr>
            </w:r>
            <w:r>
              <w:rPr>
                <w:b w:val="0"/>
                <w:sz w:val="17"/>
              </w:rPr>
              <w:t>1920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320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360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390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599</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600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768</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959</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960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1024</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1366</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r>
        <w:tc>
          <w:tcPr>
            <w:tcW w:type="dxa" w:w="1247"/>
          </w:tcPr>
          <w:p>
            <w:pPr>
              <w:spacing w:after="0"/>
            </w:pPr>
            <w:r>
              <w:rPr>
                <w:sz w:val="17"/>
              </w:rPr>
            </w:r>
            <w:r>
              <w:rPr>
                <w:b w:val="0"/>
                <w:sz w:val="17"/>
              </w:rPr>
              <w:t>Privacidad</w:t>
            </w:r>
          </w:p>
        </w:tc>
        <w:tc>
          <w:tcPr>
            <w:tcW w:type="dxa" w:w="907"/>
          </w:tcPr>
          <w:p>
            <w:pPr>
              <w:spacing w:after="0"/>
            </w:pPr>
            <w:r>
              <w:rPr>
                <w:sz w:val="17"/>
              </w:rPr>
            </w:r>
            <w:r>
              <w:rPr>
                <w:b w:val="0"/>
                <w:sz w:val="17"/>
              </w:rPr>
              <w:t>1920</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c>
          <w:tcPr>
            <w:tcW w:type="dxa" w:w="1020"/>
          </w:tcPr>
          <w:p>
            <w:pPr>
              <w:spacing w:after="0"/>
            </w:pPr>
            <w:r>
              <w:rPr>
                <w:sz w:val="17"/>
              </w:rPr>
            </w:r>
            <w:r>
              <w:rPr>
                <w:b w:val="0"/>
                <w:sz w:val="17"/>
              </w:rPr>
              <w:t>—</w:t>
            </w:r>
          </w:p>
        </w:tc>
      </w:tr>
    </w:tbl>
    <w:p/>
    <w:p>
      <w:pPr>
        <w:pStyle w:val="Heading2"/>
      </w:pPr>
      <w:r>
        <w:t>5.1 Disposición de los componentes en cada ancho</w:t>
      </w:r>
    </w:p>
    <w:p>
      <w:r>
        <w:rPr>
          <w:b w:val="0"/>
        </w:rPr>
        <w:t>La tabla muestra cómo se reorganiza cada componente de index.html. Los cambios ocurren exactamente en los cortes de 600 px y 960 px definidos en la hoja de estilos.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907"/>
            <w:shd w:val="clear" w:color="auto" w:fill="2F4B3C"/>
          </w:tcPr>
          <w:p>
            <w:pPr>
              <w:spacing w:after="0"/>
            </w:pPr>
            <w:r>
              <w:rPr>
                <w:b/>
                <w:color w:val="FFFFFF"/>
                <w:sz w:val="17"/>
              </w:rPr>
            </w:r>
            <w:r>
              <w:rPr>
                <w:b/>
                <w:color w:val="FFFFFF"/>
                <w:sz w:val="17"/>
              </w:rPr>
              <w:t>Ancho</w:t>
            </w:r>
          </w:p>
        </w:tc>
        <w:tc>
          <w:tcPr>
            <w:tcW w:type="dxa" w:w="1871"/>
            <w:shd w:val="clear" w:color="auto" w:fill="2F4B3C"/>
          </w:tcPr>
          <w:p>
            <w:pPr>
              <w:spacing w:after="0"/>
            </w:pPr>
            <w:r>
              <w:rPr>
                <w:b/>
                <w:color w:val="FFFFFF"/>
                <w:sz w:val="17"/>
              </w:rPr>
            </w:r>
            <w:r>
              <w:rPr>
                <w:b/>
                <w:color w:val="FFFFFF"/>
                <w:sz w:val="17"/>
              </w:rPr>
              <w:t>Navegación</w:t>
            </w:r>
          </w:p>
        </w:tc>
        <w:tc>
          <w:tcPr>
            <w:tcW w:type="dxa" w:w="1361"/>
            <w:shd w:val="clear" w:color="auto" w:fill="2F4B3C"/>
          </w:tcPr>
          <w:p>
            <w:pPr>
              <w:spacing w:after="0"/>
            </w:pPr>
            <w:r>
              <w:rPr>
                <w:b/>
                <w:color w:val="FFFFFF"/>
                <w:sz w:val="17"/>
              </w:rPr>
            </w:r>
            <w:r>
              <w:rPr>
                <w:b/>
                <w:color w:val="FFFFFF"/>
                <w:sz w:val="17"/>
              </w:rPr>
              <w:t>Columnas del catálogo</w:t>
            </w:r>
          </w:p>
        </w:tc>
        <w:tc>
          <w:tcPr>
            <w:tcW w:type="dxa" w:w="1701"/>
            <w:shd w:val="clear" w:color="auto" w:fill="2F4B3C"/>
          </w:tcPr>
          <w:p>
            <w:pPr>
              <w:spacing w:after="0"/>
            </w:pPr>
            <w:r>
              <w:rPr>
                <w:b/>
                <w:color w:val="FFFFFF"/>
                <w:sz w:val="17"/>
              </w:rPr>
            </w:r>
            <w:r>
              <w:rPr>
                <w:b/>
                <w:color w:val="FFFFFF"/>
                <w:sz w:val="17"/>
              </w:rPr>
              <w:t>Recién talladas</w:t>
            </w:r>
          </w:p>
        </w:tc>
        <w:tc>
          <w:tcPr>
            <w:tcW w:type="dxa" w:w="1247"/>
            <w:shd w:val="clear" w:color="auto" w:fill="2F4B3C"/>
          </w:tcPr>
          <w:p>
            <w:pPr>
              <w:spacing w:after="0"/>
            </w:pPr>
            <w:r>
              <w:rPr>
                <w:b/>
                <w:color w:val="FFFFFF"/>
                <w:sz w:val="17"/>
              </w:rPr>
            </w:r>
            <w:r>
              <w:rPr>
                <w:b/>
                <w:color w:val="FFFFFF"/>
                <w:sz w:val="17"/>
              </w:rPr>
              <w:t>Carrito</w:t>
            </w:r>
          </w:p>
        </w:tc>
        <w:tc>
          <w:tcPr>
            <w:tcW w:type="dxa" w:w="2268"/>
            <w:shd w:val="clear" w:color="auto" w:fill="2F4B3C"/>
          </w:tcPr>
          <w:p>
            <w:pPr>
              <w:spacing w:after="0"/>
            </w:pPr>
            <w:r>
              <w:rPr>
                <w:b/>
                <w:color w:val="FFFFFF"/>
                <w:sz w:val="17"/>
              </w:rPr>
            </w:r>
            <w:r>
              <w:rPr>
                <w:b/>
                <w:color w:val="FFFFFF"/>
                <w:sz w:val="17"/>
              </w:rPr>
              <w:t>Carrito y checkout</w:t>
            </w:r>
          </w:p>
        </w:tc>
      </w:tr>
      <w:tr>
        <w:tc>
          <w:tcPr>
            <w:tcW w:type="dxa" w:w="907"/>
          </w:tcPr>
          <w:p>
            <w:pPr>
              <w:spacing w:after="0"/>
            </w:pPr>
            <w:r>
              <w:rPr>
                <w:sz w:val="17"/>
              </w:rPr>
            </w:r>
            <w:r>
              <w:rPr>
                <w:b w:val="0"/>
                <w:sz w:val="17"/>
              </w:rPr>
              <w:t>320</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2</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Renglones</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360</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2</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Renglones</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390</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2</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Renglones</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599</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2</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Renglones</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600</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3</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768</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3</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959</w:t>
            </w:r>
          </w:p>
        </w:tc>
        <w:tc>
          <w:tcPr>
            <w:tcW w:type="dxa" w:w="1871"/>
          </w:tcPr>
          <w:p>
            <w:pPr>
              <w:spacing w:after="0"/>
            </w:pPr>
            <w:r>
              <w:rPr>
                <w:sz w:val="17"/>
              </w:rPr>
            </w:r>
            <w:r>
              <w:rPr>
                <w:b w:val="0"/>
                <w:sz w:val="17"/>
              </w:rPr>
              <w:t>Barra inferior fija</w:t>
            </w:r>
          </w:p>
        </w:tc>
        <w:tc>
          <w:tcPr>
            <w:tcW w:type="dxa" w:w="1361"/>
          </w:tcPr>
          <w:p>
            <w:pPr>
              <w:spacing w:after="0"/>
            </w:pPr>
            <w:r>
              <w:rPr>
                <w:sz w:val="17"/>
              </w:rPr>
            </w:r>
            <w:r>
              <w:rPr>
                <w:b w:val="0"/>
                <w:sz w:val="17"/>
              </w:rPr>
              <w:t>3</w:t>
            </w:r>
          </w:p>
        </w:tc>
        <w:tc>
          <w:tcPr>
            <w:tcW w:type="dxa" w:w="1701"/>
          </w:tcPr>
          <w:p>
            <w:pPr>
              <w:spacing w:after="0"/>
            </w:pPr>
            <w:r>
              <w:rPr>
                <w:sz w:val="17"/>
              </w:rPr>
            </w:r>
            <w:r>
              <w:rPr>
                <w:b w:val="0"/>
                <w:sz w:val="17"/>
              </w:rPr>
              <w:t>Carrusel deslizable</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Uno debajo del otro</w:t>
            </w:r>
          </w:p>
        </w:tc>
      </w:tr>
      <w:tr>
        <w:tc>
          <w:tcPr>
            <w:tcW w:type="dxa" w:w="907"/>
          </w:tcPr>
          <w:p>
            <w:pPr>
              <w:spacing w:after="0"/>
            </w:pPr>
            <w:r>
              <w:rPr>
                <w:sz w:val="17"/>
              </w:rPr>
            </w:r>
            <w:r>
              <w:rPr>
                <w:b w:val="0"/>
                <w:sz w:val="17"/>
              </w:rPr>
              <w:t>960</w:t>
            </w:r>
          </w:p>
        </w:tc>
        <w:tc>
          <w:tcPr>
            <w:tcW w:type="dxa" w:w="1871"/>
          </w:tcPr>
          <w:p>
            <w:pPr>
              <w:spacing w:after="0"/>
            </w:pPr>
            <w:r>
              <w:rPr>
                <w:sz w:val="17"/>
              </w:rPr>
            </w:r>
            <w:r>
              <w:rPr>
                <w:b w:val="0"/>
                <w:sz w:val="17"/>
              </w:rPr>
              <w:t>Barra superior fija</w:t>
            </w:r>
          </w:p>
        </w:tc>
        <w:tc>
          <w:tcPr>
            <w:tcW w:type="dxa" w:w="1361"/>
          </w:tcPr>
          <w:p>
            <w:pPr>
              <w:spacing w:after="0"/>
            </w:pPr>
            <w:r>
              <w:rPr>
                <w:sz w:val="17"/>
              </w:rPr>
            </w:r>
            <w:r>
              <w:rPr>
                <w:b w:val="0"/>
                <w:sz w:val="17"/>
              </w:rPr>
              <w:t>4</w:t>
            </w:r>
          </w:p>
        </w:tc>
        <w:tc>
          <w:tcPr>
            <w:tcW w:type="dxa" w:w="1701"/>
          </w:tcPr>
          <w:p>
            <w:pPr>
              <w:spacing w:after="0"/>
            </w:pPr>
            <w:r>
              <w:rPr>
                <w:sz w:val="17"/>
              </w:rPr>
            </w:r>
            <w:r>
              <w:rPr>
                <w:b w:val="0"/>
                <w:sz w:val="17"/>
              </w:rPr>
              <w:t>Grilla</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Lado a lado</w:t>
            </w:r>
          </w:p>
        </w:tc>
      </w:tr>
      <w:tr>
        <w:tc>
          <w:tcPr>
            <w:tcW w:type="dxa" w:w="907"/>
          </w:tcPr>
          <w:p>
            <w:pPr>
              <w:spacing w:after="0"/>
            </w:pPr>
            <w:r>
              <w:rPr>
                <w:sz w:val="17"/>
              </w:rPr>
            </w:r>
            <w:r>
              <w:rPr>
                <w:b w:val="0"/>
                <w:sz w:val="17"/>
              </w:rPr>
              <w:t>1024</w:t>
            </w:r>
          </w:p>
        </w:tc>
        <w:tc>
          <w:tcPr>
            <w:tcW w:type="dxa" w:w="1871"/>
          </w:tcPr>
          <w:p>
            <w:pPr>
              <w:spacing w:after="0"/>
            </w:pPr>
            <w:r>
              <w:rPr>
                <w:sz w:val="17"/>
              </w:rPr>
            </w:r>
            <w:r>
              <w:rPr>
                <w:b w:val="0"/>
                <w:sz w:val="17"/>
              </w:rPr>
              <w:t>Barra superior fija</w:t>
            </w:r>
          </w:p>
        </w:tc>
        <w:tc>
          <w:tcPr>
            <w:tcW w:type="dxa" w:w="1361"/>
          </w:tcPr>
          <w:p>
            <w:pPr>
              <w:spacing w:after="0"/>
            </w:pPr>
            <w:r>
              <w:rPr>
                <w:sz w:val="17"/>
              </w:rPr>
            </w:r>
            <w:r>
              <w:rPr>
                <w:b w:val="0"/>
                <w:sz w:val="17"/>
              </w:rPr>
              <w:t>4</w:t>
            </w:r>
          </w:p>
        </w:tc>
        <w:tc>
          <w:tcPr>
            <w:tcW w:type="dxa" w:w="1701"/>
          </w:tcPr>
          <w:p>
            <w:pPr>
              <w:spacing w:after="0"/>
            </w:pPr>
            <w:r>
              <w:rPr>
                <w:sz w:val="17"/>
              </w:rPr>
            </w:r>
            <w:r>
              <w:rPr>
                <w:b w:val="0"/>
                <w:sz w:val="17"/>
              </w:rPr>
              <w:t>Grilla</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Lado a lado</w:t>
            </w:r>
          </w:p>
        </w:tc>
      </w:tr>
      <w:tr>
        <w:tc>
          <w:tcPr>
            <w:tcW w:type="dxa" w:w="907"/>
          </w:tcPr>
          <w:p>
            <w:pPr>
              <w:spacing w:after="0"/>
            </w:pPr>
            <w:r>
              <w:rPr>
                <w:sz w:val="17"/>
              </w:rPr>
            </w:r>
            <w:r>
              <w:rPr>
                <w:b w:val="0"/>
                <w:sz w:val="17"/>
              </w:rPr>
              <w:t>1366</w:t>
            </w:r>
          </w:p>
        </w:tc>
        <w:tc>
          <w:tcPr>
            <w:tcW w:type="dxa" w:w="1871"/>
          </w:tcPr>
          <w:p>
            <w:pPr>
              <w:spacing w:after="0"/>
            </w:pPr>
            <w:r>
              <w:rPr>
                <w:sz w:val="17"/>
              </w:rPr>
            </w:r>
            <w:r>
              <w:rPr>
                <w:b w:val="0"/>
                <w:sz w:val="17"/>
              </w:rPr>
              <w:t>Barra superior fija</w:t>
            </w:r>
          </w:p>
        </w:tc>
        <w:tc>
          <w:tcPr>
            <w:tcW w:type="dxa" w:w="1361"/>
          </w:tcPr>
          <w:p>
            <w:pPr>
              <w:spacing w:after="0"/>
            </w:pPr>
            <w:r>
              <w:rPr>
                <w:sz w:val="17"/>
              </w:rPr>
            </w:r>
            <w:r>
              <w:rPr>
                <w:b w:val="0"/>
                <w:sz w:val="17"/>
              </w:rPr>
              <w:t>4</w:t>
            </w:r>
          </w:p>
        </w:tc>
        <w:tc>
          <w:tcPr>
            <w:tcW w:type="dxa" w:w="1701"/>
          </w:tcPr>
          <w:p>
            <w:pPr>
              <w:spacing w:after="0"/>
            </w:pPr>
            <w:r>
              <w:rPr>
                <w:sz w:val="17"/>
              </w:rPr>
            </w:r>
            <w:r>
              <w:rPr>
                <w:b w:val="0"/>
                <w:sz w:val="17"/>
              </w:rPr>
              <w:t>Grilla</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Lado a lado</w:t>
            </w:r>
          </w:p>
        </w:tc>
      </w:tr>
      <w:tr>
        <w:tc>
          <w:tcPr>
            <w:tcW w:type="dxa" w:w="907"/>
          </w:tcPr>
          <w:p>
            <w:pPr>
              <w:spacing w:after="0"/>
            </w:pPr>
            <w:r>
              <w:rPr>
                <w:sz w:val="17"/>
              </w:rPr>
            </w:r>
            <w:r>
              <w:rPr>
                <w:b w:val="0"/>
                <w:sz w:val="17"/>
              </w:rPr>
              <w:t>1920</w:t>
            </w:r>
          </w:p>
        </w:tc>
        <w:tc>
          <w:tcPr>
            <w:tcW w:type="dxa" w:w="1871"/>
          </w:tcPr>
          <w:p>
            <w:pPr>
              <w:spacing w:after="0"/>
            </w:pPr>
            <w:r>
              <w:rPr>
                <w:sz w:val="17"/>
              </w:rPr>
            </w:r>
            <w:r>
              <w:rPr>
                <w:b w:val="0"/>
                <w:sz w:val="17"/>
              </w:rPr>
              <w:t>Barra superior fija</w:t>
            </w:r>
          </w:p>
        </w:tc>
        <w:tc>
          <w:tcPr>
            <w:tcW w:type="dxa" w:w="1361"/>
          </w:tcPr>
          <w:p>
            <w:pPr>
              <w:spacing w:after="0"/>
            </w:pPr>
            <w:r>
              <w:rPr>
                <w:sz w:val="17"/>
              </w:rPr>
            </w:r>
            <w:r>
              <w:rPr>
                <w:b w:val="0"/>
                <w:sz w:val="17"/>
              </w:rPr>
              <w:t>4</w:t>
            </w:r>
          </w:p>
        </w:tc>
        <w:tc>
          <w:tcPr>
            <w:tcW w:type="dxa" w:w="1701"/>
          </w:tcPr>
          <w:p>
            <w:pPr>
              <w:spacing w:after="0"/>
            </w:pPr>
            <w:r>
              <w:rPr>
                <w:sz w:val="17"/>
              </w:rPr>
            </w:r>
            <w:r>
              <w:rPr>
                <w:b w:val="0"/>
                <w:sz w:val="17"/>
              </w:rPr>
              <w:t>Grilla</w:t>
            </w:r>
          </w:p>
        </w:tc>
        <w:tc>
          <w:tcPr>
            <w:tcW w:type="dxa" w:w="1247"/>
          </w:tcPr>
          <w:p>
            <w:pPr>
              <w:spacing w:after="0"/>
            </w:pPr>
            <w:r>
              <w:rPr>
                <w:sz w:val="17"/>
              </w:rPr>
            </w:r>
            <w:r>
              <w:rPr>
                <w:b w:val="0"/>
                <w:sz w:val="17"/>
              </w:rPr>
              <w:t>Tabla</w:t>
            </w:r>
          </w:p>
        </w:tc>
        <w:tc>
          <w:tcPr>
            <w:tcW w:type="dxa" w:w="2268"/>
          </w:tcPr>
          <w:p>
            <w:pPr>
              <w:spacing w:after="0"/>
            </w:pPr>
            <w:r>
              <w:rPr>
                <w:sz w:val="17"/>
              </w:rPr>
            </w:r>
            <w:r>
              <w:rPr>
                <w:b w:val="0"/>
                <w:sz w:val="17"/>
              </w:rPr>
              <w:t>Lado a lado</w:t>
            </w:r>
          </w:p>
        </w:tc>
      </w:tr>
    </w:tbl>
    <w:p/>
    <w:p>
      <w:pPr>
        <w:jc w:val="center"/>
      </w:pPr>
      <w:r>
        <w:drawing>
          <wp:inline xmlns:a="http://schemas.openxmlformats.org/drawingml/2006/main" xmlns:pic="http://schemas.openxmlformats.org/drawingml/2006/picture">
            <wp:extent cx="5940000" cy="2037736"/>
            <wp:docPr id="3" name="Picture 3"/>
            <wp:cNvGraphicFramePr>
              <a:graphicFrameLocks noChangeAspect="1"/>
            </wp:cNvGraphicFramePr>
            <a:graphic>
              <a:graphicData uri="http://schemas.openxmlformats.org/drawingml/2006/picture">
                <pic:pic>
                  <pic:nvPicPr>
                    <pic:cNvPr id="0" name="fig1_pantallas.png"/>
                    <pic:cNvPicPr/>
                  </pic:nvPicPr>
                  <pic:blipFill>
                    <a:blip r:embed="rId14"/>
                    <a:stretch>
                      <a:fillRect/>
                    </a:stretch>
                  </pic:blipFill>
                  <pic:spPr>
                    <a:xfrm>
                      <a:off x="0" y="0"/>
                      <a:ext cx="5940000" cy="2037736"/>
                    </a:xfrm>
                    <a:prstGeom prst="rect"/>
                  </pic:spPr>
                </pic:pic>
              </a:graphicData>
            </a:graphic>
          </wp:inline>
        </w:drawing>
      </w:r>
    </w:p>
    <w:p>
      <w:pPr>
        <w:jc w:val="center"/>
      </w:pPr>
      <w:r>
        <w:rPr>
          <w:i/>
          <w:color w:val="444444"/>
          <w:sz w:val="18"/>
        </w:rPr>
        <w:t>Figura 3. Primera pantalla del inicio a 390, 768 y 1366 px.</w:t>
      </w:r>
    </w:p>
    <w:p>
      <w:pPr>
        <w:jc w:val="center"/>
      </w:pPr>
      <w:r>
        <w:drawing>
          <wp:inline xmlns:a="http://schemas.openxmlformats.org/drawingml/2006/main" xmlns:pic="http://schemas.openxmlformats.org/drawingml/2006/picture">
            <wp:extent cx="5400000" cy="3870132"/>
            <wp:docPr id="4" name="Picture 4"/>
            <wp:cNvGraphicFramePr>
              <a:graphicFrameLocks noChangeAspect="1"/>
            </wp:cNvGraphicFramePr>
            <a:graphic>
              <a:graphicData uri="http://schemas.openxmlformats.org/drawingml/2006/picture">
                <pic:pic>
                  <pic:nvPicPr>
                    <pic:cNvPr id="0" name="fig4_escritorio.png"/>
                    <pic:cNvPicPr/>
                  </pic:nvPicPr>
                  <pic:blipFill>
                    <a:blip r:embed="rId15"/>
                    <a:stretch>
                      <a:fillRect/>
                    </a:stretch>
                  </pic:blipFill>
                  <pic:spPr>
                    <a:xfrm>
                      <a:off x="0" y="0"/>
                      <a:ext cx="5400000" cy="3870132"/>
                    </a:xfrm>
                    <a:prstGeom prst="rect"/>
                  </pic:spPr>
                </pic:pic>
              </a:graphicData>
            </a:graphic>
          </wp:inline>
        </w:drawing>
      </w:r>
    </w:p>
    <w:p>
      <w:pPr>
        <w:jc w:val="center"/>
      </w:pPr>
      <w:r>
        <w:rPr>
          <w:i/>
          <w:color w:val="444444"/>
          <w:sz w:val="18"/>
        </w:rPr>
        <w:t>Figura 4. Carrito y checkout lado a lado a 1366 px.</w:t>
      </w:r>
    </w:p>
    <w:p>
      <w:pPr>
        <w:pStyle w:val="Heading2"/>
      </w:pPr>
      <w:r>
        <w:t>5.2 Contraste final de la paleta</w:t>
      </w:r>
    </w:p>
    <w:tbl>
      <w:tblPr>
        <w:tblStyle w:val="TableGrid"/>
        <w:tblW w:type="auto" w:w="0"/>
        <w:tblLook w:firstColumn="1" w:firstRow="1" w:lastColumn="0" w:lastRow="0" w:noHBand="0" w:noVBand="1" w:val="04A0"/>
      </w:tblPr>
      <w:tblGrid>
        <w:gridCol w:w="2340"/>
        <w:gridCol w:w="2340"/>
        <w:gridCol w:w="2340"/>
        <w:gridCol w:w="2340"/>
      </w:tblGrid>
      <w:tr>
        <w:tc>
          <w:tcPr>
            <w:tcW w:type="dxa" w:w="3402"/>
            <w:shd w:val="clear" w:color="auto" w:fill="2F4B3C"/>
          </w:tcPr>
          <w:p>
            <w:pPr>
              <w:spacing w:after="0"/>
            </w:pPr>
            <w:r>
              <w:rPr>
                <w:b/>
                <w:color w:val="FFFFFF"/>
                <w:sz w:val="18"/>
              </w:rPr>
            </w:r>
            <w:r>
              <w:rPr>
                <w:b/>
                <w:color w:val="FFFFFF"/>
                <w:sz w:val="18"/>
              </w:rPr>
              <w:t>Texto sobre fondo</w:t>
            </w:r>
          </w:p>
        </w:tc>
        <w:tc>
          <w:tcPr>
            <w:tcW w:type="dxa" w:w="1701"/>
            <w:shd w:val="clear" w:color="auto" w:fill="2F4B3C"/>
          </w:tcPr>
          <w:p>
            <w:pPr>
              <w:spacing w:after="0"/>
            </w:pPr>
            <w:r>
              <w:rPr>
                <w:b/>
                <w:color w:val="FFFFFF"/>
                <w:sz w:val="18"/>
              </w:rPr>
            </w:r>
            <w:r>
              <w:rPr>
                <w:b/>
                <w:color w:val="FFFFFF"/>
                <w:sz w:val="18"/>
              </w:rPr>
              <w:t>Contraste</w:t>
            </w:r>
          </w:p>
        </w:tc>
        <w:tc>
          <w:tcPr>
            <w:tcW w:type="dxa" w:w="1701"/>
            <w:shd w:val="clear" w:color="auto" w:fill="2F4B3C"/>
          </w:tcPr>
          <w:p>
            <w:pPr>
              <w:spacing w:after="0"/>
            </w:pPr>
            <w:r>
              <w:rPr>
                <w:b/>
                <w:color w:val="FFFFFF"/>
                <w:sz w:val="18"/>
              </w:rPr>
            </w:r>
            <w:r>
              <w:rPr>
                <w:b/>
                <w:color w:val="FFFFFF"/>
                <w:sz w:val="18"/>
              </w:rPr>
              <w:t>Mínimo</w:t>
            </w:r>
          </w:p>
        </w:tc>
        <w:tc>
          <w:tcPr>
            <w:tcW w:type="dxa" w:w="1701"/>
            <w:shd w:val="clear" w:color="auto" w:fill="2F4B3C"/>
          </w:tcPr>
          <w:p>
            <w:pPr>
              <w:spacing w:after="0"/>
            </w:pPr>
            <w:r>
              <w:rPr>
                <w:b/>
                <w:color w:val="FFFFFF"/>
                <w:sz w:val="18"/>
              </w:rPr>
            </w:r>
            <w:r>
              <w:rPr>
                <w:b/>
                <w:color w:val="FFFFFF"/>
                <w:sz w:val="18"/>
              </w:rPr>
              <w:t>Resultado</w:t>
            </w:r>
          </w:p>
        </w:tc>
      </w:tr>
      <w:tr>
        <w:tc>
          <w:tcPr>
            <w:tcW w:type="dxa" w:w="3402"/>
          </w:tcPr>
          <w:p>
            <w:pPr>
              <w:spacing w:after="0"/>
            </w:pPr>
            <w:r>
              <w:rPr>
                <w:sz w:val="18"/>
              </w:rPr>
            </w:r>
            <w:r>
              <w:rPr>
                <w:b w:val="0"/>
                <w:sz w:val="18"/>
              </w:rPr>
              <w:t>#985E26 sobre #F4EEDC</w:t>
            </w:r>
          </w:p>
        </w:tc>
        <w:tc>
          <w:tcPr>
            <w:tcW w:type="dxa" w:w="1701"/>
          </w:tcPr>
          <w:p>
            <w:pPr>
              <w:spacing w:after="0"/>
            </w:pPr>
            <w:r>
              <w:rPr>
                <w:sz w:val="18"/>
              </w:rPr>
            </w:r>
            <w:r>
              <w:rPr>
                <w:b w:val="0"/>
                <w:sz w:val="18"/>
              </w:rPr>
              <w:t>4,57:1</w:t>
            </w:r>
          </w:p>
        </w:tc>
        <w:tc>
          <w:tcPr>
            <w:tcW w:type="dxa" w:w="1701"/>
          </w:tcPr>
          <w:p>
            <w:pPr>
              <w:spacing w:after="0"/>
            </w:pPr>
            <w:r>
              <w:rPr>
                <w:sz w:val="18"/>
              </w:rPr>
            </w:r>
            <w:r>
              <w:rPr>
                <w:b w:val="0"/>
                <w:sz w:val="18"/>
              </w:rPr>
              <w:t>3:1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#6B6959 sobre #F4EEDC</w:t>
            </w:r>
          </w:p>
        </w:tc>
        <w:tc>
          <w:tcPr>
            <w:tcW w:type="dxa" w:w="1701"/>
          </w:tcPr>
          <w:p>
            <w:pPr>
              <w:spacing w:after="0"/>
            </w:pPr>
            <w:r>
              <w:rPr>
                <w:sz w:val="18"/>
              </w:rPr>
            </w:r>
            <w:r>
              <w:rPr>
                <w:b w:val="0"/>
                <w:sz w:val="18"/>
              </w:rPr>
              <w:t>4,78:1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#985E26 sobre #FCFAF3</w:t>
            </w:r>
          </w:p>
        </w:tc>
        <w:tc>
          <w:tcPr>
            <w:tcW w:type="dxa" w:w="1701"/>
          </w:tcPr>
          <w:p>
            <w:pPr>
              <w:spacing w:after="0"/>
            </w:pPr>
            <w:r>
              <w:rPr>
                <w:sz w:val="18"/>
              </w:rPr>
            </w:r>
            <w:r>
              <w:rPr>
                <w:b w:val="0"/>
                <w:sz w:val="18"/>
              </w:rPr>
              <w:t>5,07:1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#84955F sobre #191E14</w:t>
            </w:r>
          </w:p>
        </w:tc>
        <w:tc>
          <w:tcPr>
            <w:tcW w:type="dxa" w:w="1701"/>
          </w:tcPr>
          <w:p>
            <w:pPr>
              <w:spacing w:after="0"/>
            </w:pPr>
            <w:r>
              <w:rPr>
                <w:sz w:val="18"/>
              </w:rPr>
            </w:r>
            <w:r>
              <w:rPr>
                <w:b w:val="0"/>
                <w:sz w:val="18"/>
              </w:rPr>
              <w:t>5,21:1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#6B6959 sobre #FCFAF3</w:t>
            </w:r>
          </w:p>
        </w:tc>
        <w:tc>
          <w:tcPr>
            <w:tcW w:type="dxa" w:w="1701"/>
          </w:tcPr>
          <w:p>
            <w:pPr>
              <w:spacing w:after="0"/>
            </w:pPr>
            <w:r>
              <w:rPr>
                <w:sz w:val="18"/>
              </w:rPr>
            </w:r>
            <w:r>
              <w:rPr>
                <w:b w:val="0"/>
                <w:sz w:val="18"/>
              </w:rPr>
              <w:t>5,31:1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#47542F sobre #FCFAF3</w:t>
            </w:r>
          </w:p>
        </w:tc>
        <w:tc>
          <w:tcPr>
            <w:tcW w:type="dxa" w:w="1701"/>
          </w:tcPr>
          <w:p>
            <w:pPr>
              <w:spacing w:after="0"/>
            </w:pPr>
            <w:r>
              <w:rPr>
                <w:sz w:val="18"/>
              </w:rPr>
            </w:r>
            <w:r>
              <w:rPr>
                <w:b w:val="0"/>
                <w:sz w:val="18"/>
              </w:rPr>
              <w:t>7,80:1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#FCFAF3 sobre #47542F</w:t>
            </w:r>
          </w:p>
        </w:tc>
        <w:tc>
          <w:tcPr>
            <w:tcW w:type="dxa" w:w="1701"/>
          </w:tcPr>
          <w:p>
            <w:pPr>
              <w:spacing w:after="0"/>
            </w:pPr>
            <w:r>
              <w:rPr>
                <w:sz w:val="18"/>
              </w:rPr>
            </w:r>
            <w:r>
              <w:rPr>
                <w:b w:val="0"/>
                <w:sz w:val="18"/>
              </w:rPr>
              <w:t>7,80:1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#C8BD97 sobre #191E14</w:t>
            </w:r>
          </w:p>
        </w:tc>
        <w:tc>
          <w:tcPr>
            <w:tcW w:type="dxa" w:w="1701"/>
          </w:tcPr>
          <w:p>
            <w:pPr>
              <w:spacing w:after="0"/>
            </w:pPr>
            <w:r>
              <w:rPr>
                <w:sz w:val="18"/>
              </w:rPr>
            </w:r>
            <w:r>
              <w:rPr>
                <w:b w:val="0"/>
                <w:sz w:val="18"/>
              </w:rPr>
              <w:t>9,04:1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#E7D9AE sobre #191E14</w:t>
            </w:r>
          </w:p>
        </w:tc>
        <w:tc>
          <w:tcPr>
            <w:tcW w:type="dxa" w:w="1701"/>
          </w:tcPr>
          <w:p>
            <w:pPr>
              <w:spacing w:after="0"/>
            </w:pPr>
            <w:r>
              <w:rPr>
                <w:sz w:val="18"/>
              </w:rPr>
            </w:r>
            <w:r>
              <w:rPr>
                <w:b w:val="0"/>
                <w:sz w:val="18"/>
              </w:rPr>
              <w:t>12,07:1</w:t>
            </w:r>
          </w:p>
        </w:tc>
        <w:tc>
          <w:tcPr>
            <w:tcW w:type="dxa" w:w="1701"/>
          </w:tcPr>
          <w:p>
            <w:pPr>
              <w:spacing w:after="0"/>
            </w:pPr>
            <w:r>
              <w:rPr>
                <w:sz w:val="18"/>
              </w:rPr>
            </w:r>
            <w:r>
              <w:rPr>
                <w:b w:val="0"/>
                <w:sz w:val="18"/>
              </w:rPr>
              <w:t>3:1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#191E14 sobre #E7D9AE</w:t>
            </w:r>
          </w:p>
        </w:tc>
        <w:tc>
          <w:tcPr>
            <w:tcW w:type="dxa" w:w="1701"/>
          </w:tcPr>
          <w:p>
            <w:pPr>
              <w:spacing w:after="0"/>
            </w:pPr>
            <w:r>
              <w:rPr>
                <w:sz w:val="18"/>
              </w:rPr>
            </w:r>
            <w:r>
              <w:rPr>
                <w:b w:val="0"/>
                <w:sz w:val="18"/>
              </w:rPr>
              <w:t>12,07:1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#191E14 sobre #F4EEDC</w:t>
            </w:r>
          </w:p>
        </w:tc>
        <w:tc>
          <w:tcPr>
            <w:tcW w:type="dxa" w:w="1701"/>
          </w:tcPr>
          <w:p>
            <w:pPr>
              <w:spacing w:after="0"/>
            </w:pPr>
            <w:r>
              <w:rPr>
                <w:sz w:val="18"/>
              </w:rPr>
            </w:r>
            <w:r>
              <w:rPr>
                <w:b w:val="0"/>
                <w:sz w:val="18"/>
              </w:rPr>
              <w:t>14,64:1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r>
        <w:tc>
          <w:tcPr>
            <w:tcW w:type="dxa" w:w="3402"/>
          </w:tcPr>
          <w:p>
            <w:pPr>
              <w:spacing w:after="0"/>
            </w:pPr>
            <w:r>
              <w:rPr>
                <w:sz w:val="18"/>
              </w:rPr>
            </w:r>
            <w:r>
              <w:rPr>
                <w:b w:val="0"/>
                <w:sz w:val="18"/>
              </w:rPr>
              <w:t>#191E14 sobre #FCFAF3</w:t>
            </w:r>
          </w:p>
        </w:tc>
        <w:tc>
          <w:tcPr>
            <w:tcW w:type="dxa" w:w="1701"/>
          </w:tcPr>
          <w:p>
            <w:pPr>
              <w:spacing w:after="0"/>
            </w:pPr>
            <w:r>
              <w:rPr>
                <w:sz w:val="18"/>
              </w:rPr>
            </w:r>
            <w:r>
              <w:rPr>
                <w:b w:val="0"/>
                <w:sz w:val="18"/>
              </w:rPr>
              <w:t>16,25:1</w:t>
            </w:r>
          </w:p>
        </w:tc>
        <w:tc>
          <w:tcPr>
            <w:tcW w:type="dxa" w:w="1701"/>
          </w:tcPr>
          <w:p>
            <w:pPr>
              <w:spacing w:after="0"/>
            </w:pPr>
            <w:r>
              <w:rPr>
                <w:sz w:val="18"/>
              </w:rPr>
            </w:r>
            <w:r>
              <w:rPr>
                <w:b w:val="0"/>
                <w:sz w:val="18"/>
              </w:rPr>
              <w:t>4,5:1</w:t>
            </w:r>
          </w:p>
        </w:tc>
        <w:tc>
          <w:tcPr>
            <w:tcW w:type="dxa" w:w="1701"/>
          </w:tcPr>
          <w:p>
            <w:pPr>
              <w:spacing w:after="0"/>
            </w:pPr>
            <w:r>
              <w:rPr>
                <w:sz w:val="18"/>
              </w:rPr>
            </w:r>
            <w:r>
              <w:rPr>
                <w:b w:val="0"/>
                <w:sz w:val="18"/>
              </w:rPr>
              <w:t>Cumple</w:t>
            </w:r>
          </w:p>
        </w:tc>
      </w:tr>
    </w:tbl>
    <w:p/>
    <w:p>
      <w:pPr>
        <w:pStyle w:val="Heading2"/>
      </w:pPr>
      <w:r>
        <w:t>5.3 Checkout y privacidad</w:t>
      </w:r>
    </w:p>
    <w:p>
      <w:r>
        <w:rPr>
          <w:b w:val="0"/>
        </w:rPr>
        <w:t>En los 11 anchos el checkout se comportó igual:</w:t>
      </w:r>
    </w:p>
    <w:p>
      <w:pPr>
        <w:pStyle w:val="ListBullet"/>
      </w:pPr>
      <w:r>
        <w:rPr>
          <w:b w:val="0"/>
        </w:rPr>
        <w:t>Con el formulario vacío, «Ir al pago» no confirma nada y el navegador marca los seis campos obligatorios, incluida la casilla de consentimiento.</w:t>
      </w:r>
    </w:p>
    <w:p>
      <w:pPr>
        <w:pStyle w:val="ListBullet"/>
      </w:pPr>
      <w:r>
        <w:rPr>
          <w:b w:val="0"/>
        </w:rPr>
        <w:t>Con un código postal de cinco dígitos («35000») la compra también se bloquea, porque el campo exige cuatro.</w:t>
      </w:r>
    </w:p>
    <w:p>
      <w:pPr>
        <w:pStyle w:val="ListBullet"/>
      </w:pPr>
      <w:r>
        <w:rPr>
          <w:b w:val="0"/>
        </w:rPr>
        <w:t>Con datos válidos aparece la confirmación («¡Listo, Ana! Tu pedido simulado quedó confirmado…») y todos los campos quedan vacíos.</w:t>
      </w:r>
    </w:p>
    <w:p>
      <w:pPr>
        <w:pStyle w:val="ListBullet"/>
      </w:pPr>
      <w:r>
        <w:rPr>
          <w:b/>
        </w:rPr>
        <w:t>Durante toda la compra el navegador no hizo ninguna petición de red.</w:t>
      </w:r>
      <w:r>
        <w:rPr>
          <w:b w:val="0"/>
        </w:rPr>
        <w:t xml:space="preserve"> Esto confirma en la práctica lo que promete la Política de privacidad (Ley 25.326): los datos del formulario no salen del equipo del usuario.</w:t>
      </w:r>
    </w:p>
    <w:p>
      <w:r>
        <w:rPr>
          <w:b w:val="0"/>
        </w:rPr>
        <w:t>La casilla de consentimiento mide 22 × 22 px, pero su etiqueta también se puede tocar y ocupa entre 44 y 87 px de alto según el ancho. El área táctil real supera el mínimo.</w:t>
      </w:r>
    </w:p>
    <w:p>
      <w:pPr>
        <w:pStyle w:val="Heading1"/>
      </w:pPr>
      <w:r>
        <w:t>6. Limitaciones y pendientes</w:t>
      </w:r>
    </w:p>
    <w:p>
      <w:pPr>
        <w:pStyle w:val="ListBullet"/>
      </w:pPr>
      <w:r>
        <w:rPr>
          <w:b/>
        </w:rPr>
        <w:t>Imágenes de producto.</w:t>
      </w:r>
      <w:r>
        <w:rPr>
          <w:b w:val="0"/>
        </w:rPr>
        <w:t xml:space="preserve"> Los cuatro archivos .webp todavía no están en el repositorio (el servidor responde 404). Las tarjetas mantienen su proporción 4:3 y el sello «Imagen con IA», pero el navegador muestra el ícono de imagen rota. Hay que generarlas y subirlas antes del Sprint 3.</w:t>
      </w:r>
    </w:p>
    <w:p>
      <w:pPr>
        <w:pStyle w:val="ListBullet"/>
      </w:pPr>
      <w:r>
        <w:rPr>
          <w:b/>
        </w:rPr>
        <w:t>Emulación, no dispositivos reales.</w:t>
      </w:r>
      <w:r>
        <w:rPr>
          <w:b w:val="0"/>
        </w:rPr>
        <w:t xml:space="preserve"> Chrome emula el ancho, la densidad y el modo táctil, pero no reproduce el teclado virtual, la barra de direcciones que se esconde ni Safari de iOS. Para cubrirlo, el 29/09 se abrió el sitio publicado (https://nicorsss.github.io/Woodbird/) en un Samsung Galaxy A16 con Chrome: la disposición se vio correcta, sin elementos cortados ni superpuestos. Safari de iOS sigue sin probarse.</w:t>
      </w:r>
    </w:p>
    <w:p>
      <w:pPr>
        <w:pStyle w:val="ListBullet"/>
      </w:pPr>
      <w:r>
        <w:rPr>
          <w:b/>
        </w:rPr>
        <w:t>Lector de pantalla.</w:t>
      </w:r>
      <w:r>
        <w:rPr>
          <w:b w:val="0"/>
        </w:rPr>
        <w:t xml:space="preserve"> Para apilar el carrito en celular, la tabla cambia su display. Algunos lectores de pantalla pueden dejar de anunciarla como tabla en ese caso. Queda pendiente verificarlo con NVDA o TalkBack.</w:t>
      </w:r>
    </w:p>
    <w:p>
      <w:pPr>
        <w:pStyle w:val="ListBullet"/>
      </w:pPr>
      <w:r>
        <w:rPr>
          <w:b/>
        </w:rPr>
        <w:t>Usuarios.</w:t>
      </w:r>
      <w:r>
        <w:rPr>
          <w:b w:val="0"/>
        </w:rPr>
        <w:t xml:space="preserve"> Por ser un equipo de una sola persona, no hubo pruebas con usuarios externos. Las pruebas miden criterios objetivos, pero no reemplazan observar a alguien usando la tienda.</w:t>
      </w:r>
    </w:p>
    <w:p>
      <w:pPr>
        <w:pStyle w:val="ListBullet"/>
      </w:pPr>
      <w:r>
        <w:rPr>
          <w:b/>
        </w:rPr>
        <w:t>Observación de diseño.</w:t>
      </w:r>
      <w:r>
        <w:rPr>
          <w:b w:val="0"/>
        </w:rPr>
        <w:t xml:space="preserve"> En escritorio, «Recién talladas» usa una grilla de cuatro columnas y muestra dos piezas, así que la mitad de la fila queda vacía. Se resuelve solo cuando el catálogo se cargue desde productos.json (Sprint 3).</w:t>
      </w:r>
    </w:p>
    <w:p>
      <w:pPr>
        <w:pStyle w:val="Heading1"/>
      </w:pPr>
      <w:r>
        <w:t>7. Conclusión</w:t>
      </w:r>
    </w:p>
    <w:p>
      <w:r>
        <w:rPr>
          <w:b w:val="0"/>
        </w:rPr>
        <w:t>La maquetación adaptable cumple su objetivo: el mismo HTML se reorganiza en tres disposiciones (celular, tableta y escritorio) solo con Flexbox y Grid, sin desplazamiento horizontal desde 320 px y con la navegación, el carrusel y el checkout funcionando en los 11 anchos. Las pruebas encontraron seis problemas. Todos se corrigieron en la hoja de estilos y se verificaron con una segunda ronda completa. La paleta ahora cumple WCAG AA en todos los textos. Los pendientes (imágenes y prueba con lector de pantalla; la prueba en un celular real se hizo el 29/09) quedan registrados para el cierre del Sprint 2 y el Sprint 3.</w:t>
      </w:r>
    </w:p>
    <w:p>
      <w:pPr>
        <w:pStyle w:val="Heading1"/>
      </w:pPr>
      <w:r>
        <w:t>Anexo: cómo repetir la prueba</w:t>
      </w:r>
    </w:p>
    <w:p>
      <w:r>
        <w:rPr>
          <w:b w:val="0"/>
        </w:rPr>
        <w:t>Se necesitan Node.js 22 o posterior, Python y Google Chrome. Desde la raíz del repositorio:</w:t>
      </w:r>
    </w:p>
    <w:p>
      <w:r>
        <w:rPr>
          <w:rFonts w:ascii="Consolas" w:hAnsi="Consolas"/>
          <w:sz w:val="19"/>
        </w:rPr>
        <w:t>python -m http.server 8765</w:t>
      </w:r>
    </w:p>
    <w:p>
      <w:r>
        <w:rPr>
          <w:rFonts w:ascii="Consolas" w:hAnsi="Consolas"/>
          <w:sz w:val="19"/>
        </w:rPr>
        <w:t>node pruebas/responsive.mjs http://127.0.0.1:8765/ pruebas/salida</w:t>
      </w:r>
    </w:p>
    <w:p>
      <w:r>
        <w:rPr>
          <w:b w:val="0"/>
        </w:rPr>
        <w:t>El script guarda en pruebas/salida/ las capturas de cada página y cada ancho, y el archivo resultados.json con todas las mediciones. Si Chrome está instalado en otra ruta, se indica con la variable de entorno CHROME.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2F4B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usabilidad responsive — Woodbird</dc:title>
  <dc:subject/>
  <dc:creator>Reiss Jorge Nicolás</dc:creator>
  <cp:keywords/>
  <dc:description>generated by python-docx</dc:description>
  <cp:lastModifiedBy/>
  <cp:revision>1</cp:revision>
  <dcterms:created xsi:type="dcterms:W3CDTF">2013-12-23T23:15:00Z</dcterms:created>
  <dcterms:modified xsi:type="dcterms:W3CDTF">2013-12-23T23:15:00Z</dcterms:modified>
  <cp:category/>
</cp:coreProperties>
</file>