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F4B3C"/>
          <w:sz w:val="36"/>
        </w:rPr>
        <w:t>POLÍTICA DE PRIVACIDAD DE DATOS (HABEAS DATA)</w:t>
      </w:r>
    </w:p>
    <w:p>
      <w:pPr>
        <w:spacing w:after="240"/>
      </w:pPr>
      <w:r>
        <w:rPr>
          <w:color w:val="444444"/>
          <w:sz w:val="24"/>
        </w:rPr>
        <w:t>Woodbird — Aves decorativas de madera</w:t>
      </w:r>
    </w:p>
    <w:tbl>
      <w:tblPr>
        <w:tblStyle w:val="TableGrid"/>
        <w:tblW w:type="auto" w:w="0"/>
        <w:tblLayout w:type="fixed"/>
        <w:tblLook w:firstColumn="1" w:firstRow="1" w:lastColumn="0" w:lastRow="0" w:noHBand="0" w:noVBand="1" w:val="04A0"/>
      </w:tblPr>
      <w:tblGrid>
        <w:gridCol w:w="4680"/>
        <w:gridCol w:w="4680"/>
      </w:tblGrid>
      <w:tr>
        <w:tc>
          <w:tcPr>
            <w:tcW w:type="dxa" w:w="2304"/>
            <w:shd w:val="clear" w:color="auto" w:fill="E8EDE9"/>
          </w:tcPr>
          <w:p>
            <w:pPr>
              <w:spacing w:after="0"/>
            </w:pPr>
            <w:r/>
            <w:r>
              <w:rPr>
                <w:b/>
              </w:rPr>
              <w:t>Materia</w:t>
            </w:r>
          </w:p>
        </w:tc>
        <w:tc>
          <w:tcPr>
            <w:tcW w:type="dxa" w:w="7056"/>
          </w:tcPr>
          <w:p>
            <w:pPr>
              <w:spacing w:after="0"/>
            </w:pPr>
            <w:r/>
            <w:r>
              <w:rPr>
                <w:b w:val="0"/>
              </w:rPr>
              <w:t>Legislación Informática (LI)</w:t>
            </w:r>
          </w:p>
        </w:tc>
      </w:tr>
      <w:tr>
        <w:tc>
          <w:tcPr>
            <w:tcW w:type="dxa" w:w="2304"/>
            <w:shd w:val="clear" w:color="auto" w:fill="E8EDE9"/>
          </w:tcPr>
          <w:p>
            <w:pPr>
              <w:spacing w:after="0"/>
            </w:pPr>
            <w:r/>
            <w:r>
              <w:rPr>
                <w:b/>
              </w:rPr>
              <w:t>Actividad</w:t>
            </w:r>
          </w:p>
        </w:tc>
        <w:tc>
          <w:tcPr>
            <w:tcW w:type="dxa" w:w="7056"/>
          </w:tcPr>
          <w:p>
            <w:pPr>
              <w:spacing w:after="0"/>
            </w:pPr>
            <w:r/>
            <w:r>
              <w:rPr>
                <w:b w:val="0"/>
              </w:rPr>
              <w:t>Sprint 2 — Política de Privacidad de Datos (Ley 25.326 y Habeas Data)</w:t>
            </w:r>
          </w:p>
        </w:tc>
      </w:tr>
      <w:tr>
        <w:tc>
          <w:tcPr>
            <w:tcW w:type="dxa" w:w="2304"/>
            <w:shd w:val="clear" w:color="auto" w:fill="E8EDE9"/>
          </w:tcPr>
          <w:p>
            <w:pPr>
              <w:spacing w:after="0"/>
            </w:pPr>
            <w:r/>
            <w:r>
              <w:rPr>
                <w:b/>
              </w:rPr>
              <w:t>Rol</w:t>
            </w:r>
          </w:p>
        </w:tc>
        <w:tc>
          <w:tcPr>
            <w:tcW w:type="dxa" w:w="7056"/>
          </w:tcPr>
          <w:p>
            <w:pPr>
              <w:spacing w:after="0"/>
            </w:pPr>
            <w:r/>
            <w:r>
              <w:rPr>
                <w:b w:val="0"/>
              </w:rPr>
              <w:t>Compliance Officer</w:t>
            </w:r>
          </w:p>
        </w:tc>
      </w:tr>
      <w:tr>
        <w:tc>
          <w:tcPr>
            <w:tcW w:type="dxa" w:w="2304"/>
            <w:shd w:val="clear" w:color="auto" w:fill="E8EDE9"/>
          </w:tcPr>
          <w:p>
            <w:pPr>
              <w:spacing w:after="0"/>
            </w:pPr>
            <w:r/>
            <w:r>
              <w:rPr>
                <w:b/>
              </w:rPr>
              <w:t>Startup</w:t>
            </w:r>
          </w:p>
        </w:tc>
        <w:tc>
          <w:tcPr>
            <w:tcW w:type="dxa" w:w="7056"/>
          </w:tcPr>
          <w:p>
            <w:pPr>
              <w:spacing w:after="0"/>
            </w:pPr>
            <w:r/>
            <w:r>
              <w:rPr>
                <w:b w:val="0"/>
              </w:rPr>
              <w:t>Woodbird — Aves decorativas de madera</w:t>
            </w:r>
          </w:p>
        </w:tc>
      </w:tr>
      <w:tr>
        <w:tc>
          <w:tcPr>
            <w:tcW w:type="dxa" w:w="2304"/>
            <w:shd w:val="clear" w:color="auto" w:fill="E8EDE9"/>
          </w:tcPr>
          <w:p>
            <w:pPr>
              <w:spacing w:after="0"/>
            </w:pPr>
            <w:r/>
            <w:r>
              <w:rPr>
                <w:b/>
              </w:rPr>
              <w:t>Autor</w:t>
            </w:r>
          </w:p>
        </w:tc>
        <w:tc>
          <w:tcPr>
            <w:tcW w:type="dxa" w:w="7056"/>
          </w:tcPr>
          <w:p>
            <w:pPr>
              <w:spacing w:after="0"/>
            </w:pPr>
            <w:r/>
            <w:r>
              <w:rPr>
                <w:b w:val="0"/>
              </w:rPr>
              <w:t>Reiss Jorge Nicolás</w:t>
            </w:r>
          </w:p>
        </w:tc>
      </w:tr>
      <w:tr>
        <w:tc>
          <w:tcPr>
            <w:tcW w:type="dxa" w:w="2304"/>
            <w:shd w:val="clear" w:color="auto" w:fill="E8EDE9"/>
          </w:tcPr>
          <w:p>
            <w:pPr>
              <w:spacing w:after="0"/>
            </w:pPr>
            <w:r/>
            <w:r>
              <w:rPr>
                <w:b/>
              </w:rPr>
              <w:t>Docente</w:t>
            </w:r>
          </w:p>
        </w:tc>
        <w:tc>
          <w:tcPr>
            <w:tcW w:type="dxa" w:w="7056"/>
          </w:tcPr>
          <w:p>
            <w:pPr>
              <w:spacing w:after="0"/>
            </w:pPr>
            <w:r/>
            <w:r>
              <w:rPr>
                <w:b w:val="0"/>
              </w:rPr>
              <w:t>Ibañez Erick</w:t>
            </w:r>
          </w:p>
        </w:tc>
      </w:tr>
      <w:tr>
        <w:tc>
          <w:tcPr>
            <w:tcW w:type="dxa" w:w="2304"/>
            <w:shd w:val="clear" w:color="auto" w:fill="E8EDE9"/>
          </w:tcPr>
          <w:p>
            <w:pPr>
              <w:spacing w:after="0"/>
            </w:pPr>
            <w:r/>
            <w:r>
              <w:rPr>
                <w:b/>
              </w:rPr>
              <w:t>Fecha</w:t>
            </w:r>
          </w:p>
        </w:tc>
        <w:tc>
          <w:tcPr>
            <w:tcW w:type="dxa" w:w="7056"/>
          </w:tcPr>
          <w:p>
            <w:pPr>
              <w:spacing w:after="0"/>
            </w:pPr>
            <w:r/>
            <w:r>
              <w:rPr>
                <w:b w:val="0"/>
              </w:rPr>
              <w:t>22 de septiembre de 2026</w:t>
            </w:r>
          </w:p>
        </w:tc>
      </w:tr>
    </w:tbl>
    <w:p/>
    <w:p>
      <w:pPr>
        <w:pStyle w:val="Heading1"/>
      </w:pPr>
      <w:r>
        <w:t>1. Objeto del documento</w:t>
      </w:r>
    </w:p>
    <w:p>
      <w:pPr>
        <w:jc w:val="both"/>
      </w:pPr>
      <w:r>
        <w:t>Este documento establece la Política de Privacidad de la plataforma web Woodbird y fundamenta cada una de sus cláusulas en la legislación argentina de protección de datos personales. Especifica la finalidad del tratamiento de los datos que se ingresan en la simulación de compra, los mecanismos de protección implementados del lado del cliente y los derechos de acceso, rectificación, cancelación y oposición (ARCO) que el sitio pone a disposición de sus usuarios.</w:t>
      </w:r>
    </w:p>
    <w:p>
      <w:pPr>
        <w:jc w:val="both"/>
      </w:pPr>
      <w:r>
        <w:t>El texto de la sección 3 es el mismo que se publica en el sitio, en la página politica-privacidad.html, enlazada desde el pie de todas las páginas y desde la casilla de consentimiento del formulario de compra.</w:t>
      </w:r>
    </w:p>
    <w:p>
      <w:pPr>
        <w:pStyle w:val="Heading1"/>
      </w:pPr>
      <w:r>
        <w:t>2. Marco normativo aplicable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448"/>
            <w:shd w:val="clear" w:color="auto" w:fill="2F4B3C"/>
          </w:tcPr>
          <w:p>
            <w:pPr>
              <w:spacing w:after="0"/>
            </w:pPr>
            <w:r/>
            <w:r>
              <w:rPr>
                <w:b/>
                <w:color w:val="FFFFFF"/>
                <w:sz w:val="18"/>
              </w:rPr>
              <w:t>Norma</w:t>
            </w:r>
          </w:p>
        </w:tc>
        <w:tc>
          <w:tcPr>
            <w:tcW w:type="dxa" w:w="3744"/>
            <w:shd w:val="clear" w:color="auto" w:fill="2F4B3C"/>
          </w:tcPr>
          <w:p>
            <w:pPr>
              <w:spacing w:after="0"/>
            </w:pPr>
            <w:r/>
            <w:r>
              <w:rPr>
                <w:b/>
                <w:color w:val="FFFFFF"/>
                <w:sz w:val="18"/>
              </w:rPr>
              <w:t>Qué establece</w:t>
            </w:r>
          </w:p>
        </w:tc>
        <w:tc>
          <w:tcPr>
            <w:tcW w:type="dxa" w:w="3168"/>
            <w:shd w:val="clear" w:color="auto" w:fill="2F4B3C"/>
          </w:tcPr>
          <w:p>
            <w:pPr>
              <w:spacing w:after="0"/>
            </w:pPr>
            <w:r/>
            <w:r>
              <w:rPr>
                <w:b/>
                <w:color w:val="FFFFFF"/>
                <w:sz w:val="18"/>
              </w:rPr>
              <w:t>Aplicación en Woodbird</w:t>
            </w:r>
          </w:p>
        </w:tc>
      </w:tr>
      <w:tr>
        <w:trPr>
          <w:cantSplit w:val="true"/>
        </w:trPr>
        <w:tc>
          <w:tcPr>
            <w:tcW w:type="dxa" w:w="2448"/>
          </w:tcPr>
          <w:p>
            <w:pPr>
              <w:spacing w:after="0"/>
            </w:pPr>
            <w:r/>
            <w:r>
              <w:rPr>
                <w:b w:val="0"/>
                <w:sz w:val="18"/>
              </w:rPr>
              <w:t>Constitución Nacional, art. 43, párr. 3</w:t>
            </w:r>
          </w:p>
        </w:tc>
        <w:tc>
          <w:tcPr>
            <w:tcW w:type="dxa" w:w="3744"/>
          </w:tcPr>
          <w:p>
            <w:pPr>
              <w:spacing w:after="0"/>
            </w:pPr>
            <w:r/>
            <w:r>
              <w:rPr>
                <w:b w:val="0"/>
                <w:sz w:val="18"/>
              </w:rPr>
              <w:t>Acción de hábeas data: toda persona puede conocer los datos que sobre ella consten en registros y exigir su supresión, rectificación, confidencialidad o actualización.</w:t>
            </w:r>
          </w:p>
        </w:tc>
        <w:tc>
          <w:tcPr>
            <w:tcW w:type="dxa" w:w="3168"/>
          </w:tcPr>
          <w:p>
            <w:pPr>
              <w:spacing w:after="0"/>
            </w:pPr>
            <w:r/>
            <w:r>
              <w:rPr>
                <w:b w:val="0"/>
                <w:sz w:val="18"/>
              </w:rPr>
              <w:t>Cláusula 10: vía judicial disponible si el pedido no es atendido.</w:t>
            </w:r>
          </w:p>
        </w:tc>
      </w:tr>
      <w:tr>
        <w:trPr>
          <w:cantSplit w:val="true"/>
        </w:trPr>
        <w:tc>
          <w:tcPr>
            <w:tcW w:type="dxa" w:w="2448"/>
          </w:tcPr>
          <w:p>
            <w:pPr>
              <w:spacing w:after="0"/>
            </w:pPr>
            <w:r/>
            <w:r>
              <w:rPr>
                <w:b w:val="0"/>
                <w:sz w:val="18"/>
              </w:rPr>
              <w:t>Ley N° 25.326 de Protección de los Datos Personales</w:t>
            </w:r>
          </w:p>
        </w:tc>
        <w:tc>
          <w:tcPr>
            <w:tcW w:type="dxa" w:w="3744"/>
          </w:tcPr>
          <w:p>
            <w:pPr>
              <w:spacing w:after="0"/>
            </w:pPr>
            <w:r/>
            <w:r>
              <w:rPr>
                <w:b w:val="0"/>
                <w:sz w:val="18"/>
              </w:rPr>
              <w:t>Principios de calidad del dato, consentimiento, información, seguridad, confidencialidad, cesión, derechos del titular y acción de hábeas data.</w:t>
            </w:r>
          </w:p>
        </w:tc>
        <w:tc>
          <w:tcPr>
            <w:tcW w:type="dxa" w:w="3168"/>
          </w:tcPr>
          <w:p>
            <w:pPr>
              <w:spacing w:after="0"/>
            </w:pPr>
            <w:r/>
            <w:r>
              <w:rPr>
                <w:b w:val="0"/>
                <w:sz w:val="18"/>
              </w:rPr>
              <w:t>Base de toda la política (cláusulas 1 a 13).</w:t>
            </w:r>
          </w:p>
        </w:tc>
      </w:tr>
      <w:tr>
        <w:trPr>
          <w:cantSplit w:val="true"/>
        </w:trPr>
        <w:tc>
          <w:tcPr>
            <w:tcW w:type="dxa" w:w="2448"/>
          </w:tcPr>
          <w:p>
            <w:pPr>
              <w:spacing w:after="0"/>
            </w:pPr>
            <w:r/>
            <w:r>
              <w:rPr>
                <w:b w:val="0"/>
                <w:sz w:val="18"/>
              </w:rPr>
              <w:t>Decreto N° 1558/2001</w:t>
            </w:r>
          </w:p>
        </w:tc>
        <w:tc>
          <w:tcPr>
            <w:tcW w:type="dxa" w:w="3744"/>
          </w:tcPr>
          <w:p>
            <w:pPr>
              <w:spacing w:after="0"/>
            </w:pPr>
            <w:r/>
            <w:r>
              <w:rPr>
                <w:b w:val="0"/>
                <w:sz w:val="18"/>
              </w:rPr>
              <w:t>Reglamentación de la Ley N° 25.326.</w:t>
            </w:r>
          </w:p>
        </w:tc>
        <w:tc>
          <w:tcPr>
            <w:tcW w:type="dxa" w:w="3168"/>
          </w:tcPr>
          <w:p>
            <w:pPr>
              <w:spacing w:after="0"/>
            </w:pPr>
            <w:r/>
            <w:r>
              <w:rPr>
                <w:b w:val="0"/>
                <w:sz w:val="18"/>
              </w:rPr>
              <w:t>Interpretación de plazos y del ejercicio de derechos.</w:t>
            </w:r>
          </w:p>
        </w:tc>
      </w:tr>
      <w:tr>
        <w:trPr>
          <w:cantSplit w:val="true"/>
        </w:trPr>
        <w:tc>
          <w:tcPr>
            <w:tcW w:type="dxa" w:w="2448"/>
          </w:tcPr>
          <w:p>
            <w:pPr>
              <w:spacing w:after="0"/>
            </w:pPr>
            <w:r/>
            <w:r>
              <w:rPr>
                <w:b w:val="0"/>
                <w:sz w:val="18"/>
              </w:rPr>
              <w:t>Decreto N° 746/2017</w:t>
            </w:r>
          </w:p>
        </w:tc>
        <w:tc>
          <w:tcPr>
            <w:tcW w:type="dxa" w:w="3744"/>
          </w:tcPr>
          <w:p>
            <w:pPr>
              <w:spacing w:after="0"/>
            </w:pPr>
            <w:r/>
            <w:r>
              <w:rPr>
                <w:b w:val="0"/>
                <w:sz w:val="18"/>
              </w:rPr>
              <w:t>Designa a la Agencia de Acceso a la Información Pública (AAIP) como autoridad de control de la Ley N° 25.326.</w:t>
            </w:r>
          </w:p>
        </w:tc>
        <w:tc>
          <w:tcPr>
            <w:tcW w:type="dxa" w:w="3168"/>
          </w:tcPr>
          <w:p>
            <w:pPr>
              <w:spacing w:after="0"/>
            </w:pPr>
            <w:r/>
            <w:r>
              <w:rPr>
                <w:b w:val="0"/>
                <w:sz w:val="18"/>
              </w:rPr>
              <w:t>Cláusulas 10 y 12: órgano ante el que se reclama.</w:t>
            </w:r>
          </w:p>
        </w:tc>
      </w:tr>
      <w:tr>
        <w:trPr>
          <w:cantSplit w:val="true"/>
        </w:trPr>
        <w:tc>
          <w:tcPr>
            <w:tcW w:type="dxa" w:w="2448"/>
          </w:tcPr>
          <w:p>
            <w:pPr>
              <w:spacing w:after="0"/>
            </w:pPr>
            <w:r/>
            <w:r>
              <w:rPr>
                <w:b w:val="0"/>
                <w:sz w:val="18"/>
              </w:rPr>
              <w:t>Disposición DNPDP N° 10/2008</w:t>
            </w:r>
          </w:p>
        </w:tc>
        <w:tc>
          <w:tcPr>
            <w:tcW w:type="dxa" w:w="3744"/>
          </w:tcPr>
          <w:p>
            <w:pPr>
              <w:spacing w:after="0"/>
            </w:pPr>
            <w:r/>
            <w:r>
              <w:rPr>
                <w:b w:val="0"/>
                <w:sz w:val="18"/>
              </w:rPr>
              <w:t>Leyenda obligatoria sobre el derecho de acceso y la autoridad de control en sitios web y formularios.</w:t>
            </w:r>
          </w:p>
        </w:tc>
        <w:tc>
          <w:tcPr>
            <w:tcW w:type="dxa" w:w="3168"/>
          </w:tcPr>
          <w:p>
            <w:pPr>
              <w:spacing w:after="0"/>
            </w:pPr>
            <w:r/>
            <w:r>
              <w:rPr>
                <w:b w:val="0"/>
                <w:sz w:val="18"/>
              </w:rPr>
              <w:t>Cláusula 12: leyenda transcripta, con la AAIP como órgano de control.</w:t>
            </w:r>
          </w:p>
        </w:tc>
      </w:tr>
      <w:tr>
        <w:trPr>
          <w:cantSplit w:val="true"/>
        </w:trPr>
        <w:tc>
          <w:tcPr>
            <w:tcW w:type="dxa" w:w="2448"/>
          </w:tcPr>
          <w:p>
            <w:pPr>
              <w:spacing w:after="0"/>
            </w:pPr>
            <w:r/>
            <w:r>
              <w:rPr>
                <w:b w:val="0"/>
                <w:sz w:val="18"/>
              </w:rPr>
              <w:t>Resolución AAIP N° 47/2018</w:t>
            </w:r>
          </w:p>
        </w:tc>
        <w:tc>
          <w:tcPr>
            <w:tcW w:type="dxa" w:w="3744"/>
          </w:tcPr>
          <w:p>
            <w:pPr>
              <w:spacing w:after="0"/>
            </w:pPr>
            <w:r/>
            <w:r>
              <w:rPr>
                <w:b w:val="0"/>
                <w:sz w:val="18"/>
              </w:rPr>
              <w:t>Medidas de seguridad recomendadas para el tratamiento de datos personales en medios informatizados.</w:t>
            </w:r>
          </w:p>
        </w:tc>
        <w:tc>
          <w:tcPr>
            <w:tcW w:type="dxa" w:w="3168"/>
          </w:tcPr>
          <w:p>
            <w:pPr>
              <w:spacing w:after="0"/>
            </w:pPr>
            <w:r/>
            <w:r>
              <w:rPr>
                <w:b w:val="0"/>
                <w:sz w:val="18"/>
              </w:rPr>
              <w:t>Cláusula 8 y sección 4: medidas técnicas del sitio.</w:t>
            </w:r>
          </w:p>
        </w:tc>
      </w:tr>
    </w:tbl>
    <w:p>
      <w:pPr>
        <w:spacing w:after="40"/>
      </w:pPr>
    </w:p>
    <w:p>
      <w:pPr>
        <w:pStyle w:val="Heading1"/>
      </w:pPr>
      <w:r>
        <w:t>3. Texto de la Política de Privacidad</w:t>
      </w:r>
    </w:p>
    <w:p>
      <w:pPr>
        <w:pStyle w:val="Heading2"/>
      </w:pPr>
      <w:r>
        <w:t>1. Responsable del tratamiento</w:t>
      </w:r>
    </w:p>
    <w:p>
      <w:pPr>
        <w:jc w:val="both"/>
      </w:pPr>
      <w:r>
        <w:t>El responsable de la base de datos y del tratamiento de los datos personales es Woodbird, proyecto de tienda online de aves decorativas talladas en madera, representado por Reiss Jorge Nicolás, con domicilio en Resistencia, provincia del Chaco, República Argentina.</w:t>
      </w:r>
    </w:p>
    <w:p>
      <w:pPr>
        <w:jc w:val="both"/>
      </w:pPr>
      <w:r>
        <w:t>Para cualquier consulta sobre esta política o sobre sus datos, puede escribir a privacidad@woodbird.com.ar.</w:t>
      </w:r>
    </w:p>
    <w:p>
      <w:pPr>
        <w:pStyle w:val="Heading2"/>
      </w:pPr>
      <w:r>
        <w:t>2. Carácter de demostración del sitio</w:t>
      </w:r>
    </w:p>
    <w:p>
      <w:pPr>
        <w:jc w:val="both"/>
      </w:pPr>
      <w:r>
        <w:t>Woodbird es un proyecto académico de la Tecnicatura Superior en Desarrollo de Software del IES «René Favaloro». La tienda es una simulación: los productos son ficticios, sus imágenes fueron generadas con inteligencia artificial, no se realizan ventas reales y no se procesa ningún pago.</w:t>
      </w:r>
    </w:p>
    <w:p>
      <w:pPr>
        <w:jc w:val="both"/>
      </w:pPr>
      <w:r>
        <w:t>Los datos que usted ingrese en el formulario de compra no se envían a ningún servidor ni se guardan en ninguna base de datos. Se procesan únicamente dentro de su navegador mientras la página está abierta y se descartan al cerrarla o recargarla.</w:t>
      </w:r>
    </w:p>
    <w:p>
      <w:pPr>
        <w:pStyle w:val="Heading2"/>
      </w:pPr>
      <w:r>
        <w:t>3. Datos que se solicitan</w:t>
      </w:r>
    </w:p>
    <w:p>
      <w:pPr>
        <w:jc w:val="both"/>
      </w:pPr>
      <w:r>
        <w:t>Para simular una compra, el formulario solicita únicamente los siguientes datos:</w:t>
      </w:r>
    </w:p>
    <w:p>
      <w:pPr>
        <w:pStyle w:val="ListBullet"/>
        <w:spacing w:after="60"/>
      </w:pPr>
      <w:r>
        <w:t>Nombre y apellido (obligatorio).</w:t>
      </w:r>
    </w:p>
    <w:p>
      <w:pPr>
        <w:pStyle w:val="ListBullet"/>
        <w:spacing w:after="60"/>
      </w:pPr>
      <w:r>
        <w:t>Correo electrónico (obligatorio).</w:t>
      </w:r>
    </w:p>
    <w:p>
      <w:pPr>
        <w:pStyle w:val="ListBullet"/>
        <w:spacing w:after="60"/>
      </w:pPr>
      <w:r>
        <w:t>Teléfono (opcional).</w:t>
      </w:r>
    </w:p>
    <w:p>
      <w:pPr>
        <w:pStyle w:val="ListBullet"/>
        <w:spacing w:after="60"/>
      </w:pPr>
      <w:r>
        <w:t>Dirección de entrega, localidad y código postal (obligatorios).</w:t>
      </w:r>
    </w:p>
    <w:p>
      <w:pPr>
        <w:jc w:val="both"/>
      </w:pPr>
      <w:r>
        <w:t>Woodbird no solicita datos sensibles en los términos de los artículos 2 y 7 de la Ley N° 25.326 (origen racial o étnico, opiniones políticas, convicciones religiosas, afiliación sindical, salud o vida sexual) ni datos de tarjetas de crédito o cuentas bancarias.</w:t>
      </w:r>
    </w:p>
    <w:p>
      <w:pPr>
        <w:pStyle w:val="Heading2"/>
      </w:pPr>
      <w:r>
        <w:t>4. Finalidad del tratamiento</w:t>
      </w:r>
    </w:p>
    <w:p>
      <w:pPr>
        <w:jc w:val="both"/>
      </w:pPr>
      <w:r>
        <w:t>Los datos se utilizan con la única finalidad de simular el proceso de compra:</w:t>
      </w:r>
    </w:p>
    <w:p>
      <w:pPr>
        <w:pStyle w:val="ListBullet"/>
        <w:spacing w:after="60"/>
      </w:pPr>
      <w:r>
        <w:t>Identificar a la persona que realiza el pedido.</w:t>
      </w:r>
    </w:p>
    <w:p>
      <w:pPr>
        <w:pStyle w:val="ListBullet"/>
        <w:spacing w:after="60"/>
      </w:pPr>
      <w:r>
        <w:t>Calcular el costo de envío según la localidad y el código postal.</w:t>
      </w:r>
    </w:p>
    <w:p>
      <w:pPr>
        <w:pStyle w:val="ListBullet"/>
        <w:spacing w:after="60"/>
      </w:pPr>
      <w:r>
        <w:t>Mostrar el resumen y la confirmación del pedido simulado.</w:t>
      </w:r>
    </w:p>
    <w:p>
      <w:pPr>
        <w:jc w:val="both"/>
      </w:pPr>
      <w:r>
        <w:t>Los datos no se utilizan con fines publicitarios, no se usan para elaborar perfiles de los usuarios y no se destinan a ninguna finalidad distinta o incompatible con la que motivó su recolección (artículo 4, inciso 3 de la Ley N° 25.326).</w:t>
      </w:r>
    </w:p>
    <w:p>
      <w:pPr>
        <w:pStyle w:val="Heading2"/>
      </w:pPr>
      <w:r>
        <w:t>5. Consentimiento</w:t>
      </w:r>
    </w:p>
    <w:p>
      <w:pPr>
        <w:jc w:val="both"/>
      </w:pPr>
      <w:r>
        <w:t>Antes de continuar con la compra simulada, el formulario le solicita que marque la casilla de aceptación de esta política. Ese acto constituye su consentimiento libre, expreso e informado, conforme al artículo 5 de la Ley N° 25.326.</w:t>
      </w:r>
    </w:p>
    <w:p>
      <w:pPr>
        <w:jc w:val="both"/>
      </w:pPr>
      <w:r>
        <w:t>Brindar los datos es voluntario. Si no desea hacerlo, simplemente no complete el formulario: la única consecuencia es que no podrá finalizar la simulación de compra. Puede revocar su consentimiento en cualquier momento.</w:t>
      </w:r>
    </w:p>
    <w:p>
      <w:pPr>
        <w:pStyle w:val="Heading2"/>
      </w:pPr>
      <w:r>
        <w:t>6. Plazo de conservación</w:t>
      </w:r>
    </w:p>
    <w:p>
      <w:pPr>
        <w:jc w:val="both"/>
      </w:pPr>
      <w:r>
        <w:t>Mientras el sitio funcione como demostración, los datos no se conservan: existen solo en la memoria del navegador durante la sesión y desaparecen al abandonar la página.</w:t>
      </w:r>
    </w:p>
    <w:p>
      <w:pPr>
        <w:jc w:val="both"/>
      </w:pPr>
      <w:r>
        <w:t>Si en el futuro la tienda comenzara a operar de forma real, los datos se conservarán únicamente durante el tiempo necesario para cumplir la finalidad para la que fueron recolectados y serán destruidos cuando dejen de ser necesarios (artículo 4, inciso 7 de la Ley N° 25.326). Esta política se actualizará antes de ese cambio.</w:t>
      </w:r>
    </w:p>
    <w:p>
      <w:pPr>
        <w:pStyle w:val="Heading2"/>
      </w:pPr>
      <w:r>
        <w:t>7. Cesión y transferencia de datos</w:t>
      </w:r>
    </w:p>
    <w:p>
      <w:pPr>
        <w:jc w:val="both"/>
      </w:pPr>
      <w:r>
        <w:t>Woodbird no cede, vende ni comparte los datos personales ingresados en el formulario con terceros (artículo 11 de la Ley N° 25.326).</w:t>
      </w:r>
    </w:p>
    <w:p>
      <w:pPr>
        <w:jc w:val="both"/>
      </w:pPr>
      <w:r>
        <w:t>Para mostrar el sitio intervienen proveedores técnicos que, por el funcionamiento propio de Internet, reciben la dirección IP y datos técnicos de la conexión (tipo de navegador, fecha y hora de acceso): el proveedor de alojamiento del sitio y el servicio de tipografías Google Fonts, que puede procesar esa información fuera de la República Argentina. Ninguno de ellos recibe los datos del formulario de compra.</w:t>
      </w:r>
    </w:p>
    <w:p>
      <w:pPr>
        <w:pStyle w:val="Heading2"/>
      </w:pPr>
      <w:r>
        <w:t>8. Seguridad y confidencialidad</w:t>
      </w:r>
    </w:p>
    <w:p>
      <w:pPr>
        <w:jc w:val="both"/>
      </w:pPr>
      <w:r>
        <w:t>De acuerdo con los artículos 9 y 10 de la Ley N° 25.326, Woodbird adopta las siguientes medidas para proteger la información:</w:t>
      </w:r>
    </w:p>
    <w:p>
      <w:pPr>
        <w:pStyle w:val="ListBullet"/>
        <w:spacing w:after="60"/>
      </w:pPr>
      <w:r>
        <w:t>El formulario de compra no transmite datos: se procesan solo en el navegador del usuario.</w:t>
      </w:r>
    </w:p>
    <w:p>
      <w:pPr>
        <w:pStyle w:val="ListBullet"/>
        <w:spacing w:after="60"/>
      </w:pPr>
      <w:r>
        <w:t>El sitio se sirve mediante conexión cifrada (HTTPS).</w:t>
      </w:r>
    </w:p>
    <w:p>
      <w:pPr>
        <w:pStyle w:val="ListBullet"/>
        <w:spacing w:after="60"/>
      </w:pPr>
      <w:r>
        <w:t>Se solicitan únicamente los datos indispensables para la finalidad declarada (minimización).</w:t>
      </w:r>
    </w:p>
    <w:p>
      <w:pPr>
        <w:pStyle w:val="ListBullet"/>
        <w:spacing w:after="60"/>
      </w:pPr>
      <w:r>
        <w:t>El sitio no utiliza cookies propias ni herramientas de analítica o de publicidad de terceros.</w:t>
      </w:r>
    </w:p>
    <w:p>
      <w:pPr>
        <w:pStyle w:val="ListBullet"/>
        <w:spacing w:after="60"/>
      </w:pPr>
      <w:r>
        <w:t>Los datos de un pedido nunca se muestran en la dirección (URL) de la página.</w:t>
      </w:r>
    </w:p>
    <w:p>
      <w:pPr>
        <w:pStyle w:val="ListBullet"/>
        <w:spacing w:after="60"/>
      </w:pPr>
      <w:r>
        <w:t>Toda persona que intervenga en el proyecto está obligada a guardar secreto sobre los datos personales a los que acceda.</w:t>
      </w:r>
    </w:p>
    <w:p>
      <w:pPr>
        <w:pStyle w:val="Heading2"/>
      </w:pPr>
      <w:r>
        <w:t>9. Cookies y tecnologías similares</w:t>
      </w:r>
    </w:p>
    <w:p>
      <w:pPr>
        <w:jc w:val="both"/>
      </w:pPr>
      <w:r>
        <w:t>El sitio no instala cookies propias ni de terceros con fines de seguimiento, analítica o publicidad. Si en el futuro se incorporara alguna, se informará en esta política y se solicitará su consentimiento cuando corresponda.</w:t>
      </w:r>
    </w:p>
    <w:p>
      <w:pPr>
        <w:pStyle w:val="Heading2"/>
      </w:pPr>
      <w:r>
        <w:t>10. Sus derechos: acceso, rectificación, cancelación y oposición</w:t>
      </w:r>
    </w:p>
    <w:p>
      <w:pPr>
        <w:jc w:val="both"/>
      </w:pPr>
      <w:r>
        <w:t>Como titular de los datos, usted tiene derecho a:</w:t>
      </w:r>
    </w:p>
    <w:p>
      <w:pPr>
        <w:pStyle w:val="ListBullet"/>
        <w:spacing w:after="60"/>
      </w:pPr>
      <w:r>
        <w:t>Acceso: saber si Woodbird tiene datos suyos y conocerlos. La información se brinda dentro de los diez días corridos de recibido el pedido, en forma gratuita a intervalos no inferiores a seis meses (artículo 14 de la Ley N° 25.326).</w:t>
      </w:r>
    </w:p>
    <w:p>
      <w:pPr>
        <w:pStyle w:val="ListBullet"/>
        <w:spacing w:after="60"/>
      </w:pPr>
      <w:r>
        <w:t>Rectificación y actualización: pedir que se corrijan o completen datos inexactos o incompletos (artículo 16).</w:t>
      </w:r>
    </w:p>
    <w:p>
      <w:pPr>
        <w:pStyle w:val="ListBullet"/>
        <w:spacing w:after="60"/>
      </w:pPr>
      <w:r>
        <w:t>Cancelación o supresión: pedir que sus datos se eliminen cuando no sean necesarios para la finalidad declarada (artículo 16). Los pedidos de rectificación y supresión se resuelven dentro de los cinco días hábiles.</w:t>
      </w:r>
    </w:p>
    <w:p>
      <w:pPr>
        <w:pStyle w:val="ListBullet"/>
        <w:spacing w:after="60"/>
      </w:pPr>
      <w:r>
        <w:t>Oposición: oponerse a que sus datos se usen para una finalidad determinada, en particular con fines publicitarios, y solicitar su retiro o bloqueo (artículo 27, inciso 3), así como revocar el consentimiento otorgado.</w:t>
      </w:r>
    </w:p>
    <w:p>
      <w:pPr>
        <w:jc w:val="both"/>
      </w:pPr>
      <w:r>
        <w:t>Para ejercer cualquiera de estos derechos, escriba a privacidad@woodbird.com.ar indicando su nombre, el derecho que desea ejercer y un medio de contacto, y acompañe una copia de su documento de identidad para acreditar que es el titular de los datos. El ejercicio de estos derechos es gratuito.</w:t>
      </w:r>
    </w:p>
    <w:p>
      <w:pPr>
        <w:jc w:val="both"/>
      </w:pPr>
      <w:r>
        <w:t>Si su pedido no es respondido en los plazos indicados o la respuesta no le resulta satisfactoria, puede iniciar la acción de hábeas data prevista en el artículo 43 de la Constitución Nacional y en los artículos 33 y siguientes de la Ley N° 25.326, o presentar un reclamo ante la Agencia de Acceso a la Información Pública.</w:t>
      </w:r>
    </w:p>
    <w:p>
      <w:pPr>
        <w:pStyle w:val="Heading2"/>
      </w:pPr>
      <w:r>
        <w:t>11. Menores de edad</w:t>
      </w:r>
    </w:p>
    <w:p>
      <w:pPr>
        <w:jc w:val="both"/>
      </w:pPr>
      <w:r>
        <w:t>El sitio está dirigido a personas mayores de 18 años. Los menores de edad no deben ingresar datos en el formulario de compra sin la intervención de su padre, madre o tutor.</w:t>
      </w:r>
    </w:p>
    <w:p>
      <w:pPr>
        <w:pStyle w:val="Heading2"/>
      </w:pPr>
      <w:r>
        <w:t>12. Autoridad de control</w:t>
      </w:r>
    </w:p>
    <w:p>
      <w:pPr>
        <w:jc w:val="both"/>
      </w:pPr>
      <w:r>
        <w:t>El titular de los datos personales tiene la facultad de ejercer el derecho de acceso a los mismos en forma gratuita a intervalos no inferiores a seis meses, salvo que se acredite un interés legítimo al efecto conforme lo establecido en el artículo 14, inciso 3 de la Ley N° 25.326. La Agencia de Acceso a la Información Pública, en su carácter de Órgano de Control de la Ley N° 25.326, tiene la atribución de atender las denuncias y reclamos que interpongan quienes resulten afectados en sus derechos por incumplimiento de las normas vigentes en materia de protección de datos personales.</w:t>
      </w:r>
    </w:p>
    <w:p>
      <w:pPr>
        <w:pStyle w:val="Heading2"/>
      </w:pPr>
      <w:r>
        <w:t>13. Modificaciones de esta política</w:t>
      </w:r>
    </w:p>
    <w:p>
      <w:pPr>
        <w:jc w:val="both"/>
      </w:pPr>
      <w:r>
        <w:t>Woodbird puede actualizar esta política. Cada versión indica su número y su fecha de vigencia, y los cambios relevantes se informarán en el sitio antes de aplicarse.</w:t>
      </w:r>
    </w:p>
    <w:p>
      <w:pPr>
        <w:jc w:val="both"/>
      </w:pPr>
      <w:r>
        <w:t>Versión 1.0, vigente desde el 22 de septiembre de 2026.</w:t>
      </w:r>
    </w:p>
    <w:p>
      <w:pPr>
        <w:pStyle w:val="Heading1"/>
      </w:pPr>
      <w:r>
        <w:t>4. Fundamentación técnica: tratamiento y protección del lado del cliente</w:t>
      </w:r>
    </w:p>
    <w:p>
      <w:pPr>
        <w:pStyle w:val="Heading2"/>
      </w:pPr>
      <w:r>
        <w:t>4.1. Inventario de datos personales</w:t>
      </w:r>
    </w:p>
    <w:p>
      <w:pPr>
        <w:jc w:val="both"/>
      </w:pPr>
      <w:r>
        <w:t>Aplicando el principio de calidad del dato (art. 4), cada campo del formulario se justifica por la finalidad declarada. No se solicitan el DNI ni la fecha de nacimiento porque no son necesarios para simular la compra, y el teléfono se indica expresamente como opcional.</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304"/>
            <w:shd w:val="clear" w:color="auto" w:fill="2F4B3C"/>
          </w:tcPr>
          <w:p>
            <w:pPr>
              <w:spacing w:after="0"/>
            </w:pPr>
            <w:r/>
            <w:r>
              <w:rPr>
                <w:b/>
                <w:color w:val="FFFFFF"/>
                <w:sz w:val="18"/>
              </w:rPr>
              <w:t>Dato</w:t>
            </w:r>
          </w:p>
        </w:tc>
        <w:tc>
          <w:tcPr>
            <w:tcW w:type="dxa" w:w="1368"/>
            <w:shd w:val="clear" w:color="auto" w:fill="2F4B3C"/>
          </w:tcPr>
          <w:p>
            <w:pPr>
              <w:spacing w:after="0"/>
            </w:pPr>
            <w:r/>
            <w:r>
              <w:rPr>
                <w:b/>
                <w:color w:val="FFFFFF"/>
                <w:sz w:val="18"/>
              </w:rPr>
              <w:t>Carácter</w:t>
            </w:r>
          </w:p>
        </w:tc>
        <w:tc>
          <w:tcPr>
            <w:tcW w:type="dxa" w:w="3528"/>
            <w:shd w:val="clear" w:color="auto" w:fill="2F4B3C"/>
          </w:tcPr>
          <w:p>
            <w:pPr>
              <w:spacing w:after="0"/>
            </w:pPr>
            <w:r/>
            <w:r>
              <w:rPr>
                <w:b/>
                <w:color w:val="FFFFFF"/>
                <w:sz w:val="18"/>
              </w:rPr>
              <w:t>Para qué se usa</w:t>
            </w:r>
          </w:p>
        </w:tc>
        <w:tc>
          <w:tcPr>
            <w:tcW w:type="dxa" w:w="2160"/>
            <w:shd w:val="clear" w:color="auto" w:fill="2F4B3C"/>
          </w:tcPr>
          <w:p>
            <w:pPr>
              <w:spacing w:after="0"/>
            </w:pPr>
            <w:r/>
            <w:r>
              <w:rPr>
                <w:b/>
                <w:color w:val="FFFFFF"/>
                <w:sz w:val="18"/>
              </w:rPr>
              <w:t>Conservación</w:t>
            </w:r>
          </w:p>
        </w:tc>
      </w:tr>
      <w:tr>
        <w:trPr>
          <w:cantSplit w:val="true"/>
        </w:trPr>
        <w:tc>
          <w:tcPr>
            <w:tcW w:type="dxa" w:w="2304"/>
          </w:tcPr>
          <w:p>
            <w:pPr>
              <w:spacing w:after="0"/>
            </w:pPr>
            <w:r/>
            <w:r>
              <w:rPr>
                <w:b w:val="0"/>
                <w:sz w:val="18"/>
              </w:rPr>
              <w:t>Nombre y apellido</w:t>
            </w:r>
          </w:p>
        </w:tc>
        <w:tc>
          <w:tcPr>
            <w:tcW w:type="dxa" w:w="1368"/>
          </w:tcPr>
          <w:p>
            <w:pPr>
              <w:spacing w:after="0"/>
            </w:pPr>
            <w:r/>
            <w:r>
              <w:rPr>
                <w:b w:val="0"/>
                <w:sz w:val="18"/>
              </w:rPr>
              <w:t>Obligatorio</w:t>
            </w:r>
          </w:p>
        </w:tc>
        <w:tc>
          <w:tcPr>
            <w:tcW w:type="dxa" w:w="3528"/>
          </w:tcPr>
          <w:p>
            <w:pPr>
              <w:spacing w:after="0"/>
            </w:pPr>
            <w:r/>
            <w:r>
              <w:rPr>
                <w:b w:val="0"/>
                <w:sz w:val="18"/>
              </w:rPr>
              <w:t>Identificar a quien realiza el pedido.</w:t>
            </w:r>
          </w:p>
        </w:tc>
        <w:tc>
          <w:tcPr>
            <w:tcW w:type="dxa" w:w="2160"/>
          </w:tcPr>
          <w:p>
            <w:pPr>
              <w:spacing w:after="0"/>
            </w:pPr>
            <w:r/>
            <w:r>
              <w:rPr>
                <w:b w:val="0"/>
                <w:sz w:val="18"/>
              </w:rPr>
              <w:t>Ninguna (sólo en la sesión)</w:t>
            </w:r>
          </w:p>
        </w:tc>
      </w:tr>
      <w:tr>
        <w:trPr>
          <w:cantSplit w:val="true"/>
        </w:trPr>
        <w:tc>
          <w:tcPr>
            <w:tcW w:type="dxa" w:w="2304"/>
          </w:tcPr>
          <w:p>
            <w:pPr>
              <w:spacing w:after="0"/>
            </w:pPr>
            <w:r/>
            <w:r>
              <w:rPr>
                <w:b w:val="0"/>
                <w:sz w:val="18"/>
              </w:rPr>
              <w:t>Correo electrónico</w:t>
            </w:r>
          </w:p>
        </w:tc>
        <w:tc>
          <w:tcPr>
            <w:tcW w:type="dxa" w:w="1368"/>
          </w:tcPr>
          <w:p>
            <w:pPr>
              <w:spacing w:after="0"/>
            </w:pPr>
            <w:r/>
            <w:r>
              <w:rPr>
                <w:b w:val="0"/>
                <w:sz w:val="18"/>
              </w:rPr>
              <w:t>Obligatorio</w:t>
            </w:r>
          </w:p>
        </w:tc>
        <w:tc>
          <w:tcPr>
            <w:tcW w:type="dxa" w:w="3528"/>
          </w:tcPr>
          <w:p>
            <w:pPr>
              <w:spacing w:after="0"/>
            </w:pPr>
            <w:r/>
            <w:r>
              <w:rPr>
                <w:b w:val="0"/>
                <w:sz w:val="18"/>
              </w:rPr>
              <w:t>Medio de contacto para la confirmación del pedido.</w:t>
            </w:r>
          </w:p>
        </w:tc>
        <w:tc>
          <w:tcPr>
            <w:tcW w:type="dxa" w:w="2160"/>
          </w:tcPr>
          <w:p>
            <w:pPr>
              <w:spacing w:after="0"/>
            </w:pPr>
            <w:r/>
            <w:r>
              <w:rPr>
                <w:b w:val="0"/>
                <w:sz w:val="18"/>
              </w:rPr>
              <w:t>Ninguna (sólo en la sesión)</w:t>
            </w:r>
          </w:p>
        </w:tc>
      </w:tr>
      <w:tr>
        <w:trPr>
          <w:cantSplit w:val="true"/>
        </w:trPr>
        <w:tc>
          <w:tcPr>
            <w:tcW w:type="dxa" w:w="2304"/>
          </w:tcPr>
          <w:p>
            <w:pPr>
              <w:spacing w:after="0"/>
            </w:pPr>
            <w:r/>
            <w:r>
              <w:rPr>
                <w:b w:val="0"/>
                <w:sz w:val="18"/>
              </w:rPr>
              <w:t>Teléfono</w:t>
            </w:r>
          </w:p>
        </w:tc>
        <w:tc>
          <w:tcPr>
            <w:tcW w:type="dxa" w:w="1368"/>
          </w:tcPr>
          <w:p>
            <w:pPr>
              <w:spacing w:after="0"/>
            </w:pPr>
            <w:r/>
            <w:r>
              <w:rPr>
                <w:b w:val="0"/>
                <w:sz w:val="18"/>
              </w:rPr>
              <w:t>Opcional</w:t>
            </w:r>
          </w:p>
        </w:tc>
        <w:tc>
          <w:tcPr>
            <w:tcW w:type="dxa" w:w="3528"/>
          </w:tcPr>
          <w:p>
            <w:pPr>
              <w:spacing w:after="0"/>
            </w:pPr>
            <w:r/>
            <w:r>
              <w:rPr>
                <w:b w:val="0"/>
                <w:sz w:val="18"/>
              </w:rPr>
              <w:t>Contacto alternativo para la entrega.</w:t>
            </w:r>
          </w:p>
        </w:tc>
        <w:tc>
          <w:tcPr>
            <w:tcW w:type="dxa" w:w="2160"/>
          </w:tcPr>
          <w:p>
            <w:pPr>
              <w:spacing w:after="0"/>
            </w:pPr>
            <w:r/>
            <w:r>
              <w:rPr>
                <w:b w:val="0"/>
                <w:sz w:val="18"/>
              </w:rPr>
              <w:t>Ninguna (sólo en la sesión)</w:t>
            </w:r>
          </w:p>
        </w:tc>
      </w:tr>
      <w:tr>
        <w:trPr>
          <w:cantSplit w:val="true"/>
        </w:trPr>
        <w:tc>
          <w:tcPr>
            <w:tcW w:type="dxa" w:w="2304"/>
          </w:tcPr>
          <w:p>
            <w:pPr>
              <w:spacing w:after="0"/>
            </w:pPr>
            <w:r/>
            <w:r>
              <w:rPr>
                <w:b w:val="0"/>
                <w:sz w:val="18"/>
              </w:rPr>
              <w:t>Dirección de entrega</w:t>
            </w:r>
          </w:p>
        </w:tc>
        <w:tc>
          <w:tcPr>
            <w:tcW w:type="dxa" w:w="1368"/>
          </w:tcPr>
          <w:p>
            <w:pPr>
              <w:spacing w:after="0"/>
            </w:pPr>
            <w:r/>
            <w:r>
              <w:rPr>
                <w:b w:val="0"/>
                <w:sz w:val="18"/>
              </w:rPr>
              <w:t>Obligatorio</w:t>
            </w:r>
          </w:p>
        </w:tc>
        <w:tc>
          <w:tcPr>
            <w:tcW w:type="dxa" w:w="3528"/>
          </w:tcPr>
          <w:p>
            <w:pPr>
              <w:spacing w:after="0"/>
            </w:pPr>
            <w:r/>
            <w:r>
              <w:rPr>
                <w:b w:val="0"/>
                <w:sz w:val="18"/>
              </w:rPr>
              <w:t>Destino del envío.</w:t>
            </w:r>
          </w:p>
        </w:tc>
        <w:tc>
          <w:tcPr>
            <w:tcW w:type="dxa" w:w="2160"/>
          </w:tcPr>
          <w:p>
            <w:pPr>
              <w:spacing w:after="0"/>
            </w:pPr>
            <w:r/>
            <w:r>
              <w:rPr>
                <w:b w:val="0"/>
                <w:sz w:val="18"/>
              </w:rPr>
              <w:t>Ninguna (sólo en la sesión)</w:t>
            </w:r>
          </w:p>
        </w:tc>
      </w:tr>
      <w:tr>
        <w:trPr>
          <w:cantSplit w:val="true"/>
        </w:trPr>
        <w:tc>
          <w:tcPr>
            <w:tcW w:type="dxa" w:w="2304"/>
          </w:tcPr>
          <w:p>
            <w:pPr>
              <w:spacing w:after="0"/>
            </w:pPr>
            <w:r/>
            <w:r>
              <w:rPr>
                <w:b w:val="0"/>
                <w:sz w:val="18"/>
              </w:rPr>
              <w:t>Localidad y código postal</w:t>
            </w:r>
          </w:p>
        </w:tc>
        <w:tc>
          <w:tcPr>
            <w:tcW w:type="dxa" w:w="1368"/>
          </w:tcPr>
          <w:p>
            <w:pPr>
              <w:spacing w:after="0"/>
            </w:pPr>
            <w:r/>
            <w:r>
              <w:rPr>
                <w:b w:val="0"/>
                <w:sz w:val="18"/>
              </w:rPr>
              <w:t>Obligatorio</w:t>
            </w:r>
          </w:p>
        </w:tc>
        <w:tc>
          <w:tcPr>
            <w:tcW w:type="dxa" w:w="3528"/>
          </w:tcPr>
          <w:p>
            <w:pPr>
              <w:spacing w:after="0"/>
            </w:pPr>
            <w:r/>
            <w:r>
              <w:rPr>
                <w:b w:val="0"/>
                <w:sz w:val="18"/>
              </w:rPr>
              <w:t>Cálculo del costo de envío.</w:t>
            </w:r>
          </w:p>
        </w:tc>
        <w:tc>
          <w:tcPr>
            <w:tcW w:type="dxa" w:w="2160"/>
          </w:tcPr>
          <w:p>
            <w:pPr>
              <w:spacing w:after="0"/>
            </w:pPr>
            <w:r/>
            <w:r>
              <w:rPr>
                <w:b w:val="0"/>
                <w:sz w:val="18"/>
              </w:rPr>
              <w:t>Ninguna (sólo en la sesión)</w:t>
            </w:r>
          </w:p>
        </w:tc>
      </w:tr>
    </w:tbl>
    <w:p>
      <w:pPr>
        <w:spacing w:after="40"/>
      </w:pPr>
    </w:p>
    <w:p>
      <w:pPr>
        <w:pStyle w:val="Heading2"/>
      </w:pPr>
      <w:r>
        <w:t>4.2. Mecanismos de protección implementados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shd w:val="clear" w:color="auto" w:fill="2F4B3C"/>
          </w:tcPr>
          <w:p>
            <w:pPr>
              <w:spacing w:after="0"/>
            </w:pPr>
            <w:r/>
            <w:r>
              <w:rPr>
                <w:b/>
                <w:color w:val="FFFFFF"/>
                <w:sz w:val="18"/>
              </w:rPr>
              <w:t>Mecanismo</w:t>
            </w:r>
          </w:p>
        </w:tc>
        <w:tc>
          <w:tcPr>
            <w:tcW w:type="dxa" w:w="4824"/>
            <w:shd w:val="clear" w:color="auto" w:fill="2F4B3C"/>
          </w:tcPr>
          <w:p>
            <w:pPr>
              <w:spacing w:after="0"/>
            </w:pPr>
            <w:r/>
            <w:r>
              <w:rPr>
                <w:b/>
                <w:color w:val="FFFFFF"/>
                <w:sz w:val="18"/>
              </w:rPr>
              <w:t>Implementación en el código</w:t>
            </w:r>
          </w:p>
        </w:tc>
        <w:tc>
          <w:tcPr>
            <w:tcW w:type="dxa" w:w="2448"/>
            <w:shd w:val="clear" w:color="auto" w:fill="2F4B3C"/>
          </w:tcPr>
          <w:p>
            <w:pPr>
              <w:spacing w:after="0"/>
            </w:pPr>
            <w:r/>
            <w:r>
              <w:rPr>
                <w:b/>
                <w:color w:val="FFFFFF"/>
                <w:sz w:val="18"/>
              </w:rPr>
              <w:t>Fundamento</w:t>
            </w:r>
          </w:p>
        </w:tc>
      </w:tr>
      <w:tr>
        <w:trPr>
          <w:cantSplit w:val="true"/>
        </w:trPr>
        <w:tc>
          <w:tcPr>
            <w:tcW w:type="dxa" w:w="2088"/>
          </w:tcPr>
          <w:p>
            <w:pPr>
              <w:spacing w:after="0"/>
            </w:pPr>
            <w:r/>
            <w:r>
              <w:rPr>
                <w:b w:val="0"/>
                <w:sz w:val="18"/>
              </w:rPr>
              <w:t>Sin transmisión de datos</w:t>
            </w:r>
          </w:p>
        </w:tc>
        <w:tc>
          <w:tcPr>
            <w:tcW w:type="dxa" w:w="4824"/>
          </w:tcPr>
          <w:p>
            <w:pPr>
              <w:spacing w:after="0"/>
            </w:pPr>
            <w:r/>
            <w:r>
              <w:rPr>
                <w:b w:val="0"/>
                <w:sz w:val="18"/>
              </w:rPr>
              <w:t>El formulario no tiene atributo action ni botón de tipo submit. El botón «Ir al pago» ejecuta js/checkout.js, que valida los campos y muestra una confirmación sin enviar nada. Si el script no carga, el formulario tampoco se envía.</w:t>
            </w:r>
          </w:p>
        </w:tc>
        <w:tc>
          <w:tcPr>
            <w:tcW w:type="dxa" w:w="2448"/>
          </w:tcPr>
          <w:p>
            <w:pPr>
              <w:spacing w:after="0"/>
            </w:pPr>
            <w:r/>
            <w:r>
              <w:rPr>
                <w:b w:val="0"/>
                <w:sz w:val="18"/>
              </w:rPr>
              <w:t>Art. 9 (seguridad) y art. 4 (calidad)</w:t>
            </w:r>
          </w:p>
        </w:tc>
      </w:tr>
      <w:tr>
        <w:trPr>
          <w:cantSplit w:val="true"/>
        </w:trPr>
        <w:tc>
          <w:tcPr>
            <w:tcW w:type="dxa" w:w="2088"/>
          </w:tcPr>
          <w:p>
            <w:pPr>
              <w:spacing w:after="0"/>
            </w:pPr>
            <w:r/>
            <w:r>
              <w:rPr>
                <w:b w:val="0"/>
                <w:sz w:val="18"/>
              </w:rPr>
              <w:t>Borrado inmediato</w:t>
            </w:r>
          </w:p>
        </w:tc>
        <w:tc>
          <w:tcPr>
            <w:tcW w:type="dxa" w:w="4824"/>
          </w:tcPr>
          <w:p>
            <w:pPr>
              <w:spacing w:after="0"/>
            </w:pPr>
            <w:r/>
            <w:r>
              <w:rPr>
                <w:b w:val="0"/>
                <w:sz w:val="18"/>
              </w:rPr>
              <w:t>Tras confirmar la simulación, el script ejecuta formulario.reset() y los datos desaparecen de la página.</w:t>
            </w:r>
          </w:p>
        </w:tc>
        <w:tc>
          <w:tcPr>
            <w:tcW w:type="dxa" w:w="2448"/>
          </w:tcPr>
          <w:p>
            <w:pPr>
              <w:spacing w:after="0"/>
            </w:pPr>
            <w:r/>
            <w:r>
              <w:rPr>
                <w:b w:val="0"/>
                <w:sz w:val="18"/>
              </w:rPr>
              <w:t>Art. 4, inc. 7 (destrucción de datos innecesarios)</w:t>
            </w:r>
          </w:p>
        </w:tc>
      </w:tr>
      <w:tr>
        <w:trPr>
          <w:cantSplit w:val="true"/>
        </w:trPr>
        <w:tc>
          <w:tcPr>
            <w:tcW w:type="dxa" w:w="2088"/>
          </w:tcPr>
          <w:p>
            <w:pPr>
              <w:spacing w:after="0"/>
            </w:pPr>
            <w:r/>
            <w:r>
              <w:rPr>
                <w:b w:val="0"/>
                <w:sz w:val="18"/>
              </w:rPr>
              <w:t>Consentimiento previo</w:t>
            </w:r>
          </w:p>
        </w:tc>
        <w:tc>
          <w:tcPr>
            <w:tcW w:type="dxa" w:w="4824"/>
          </w:tcPr>
          <w:p>
            <w:pPr>
              <w:spacing w:after="0"/>
            </w:pPr>
            <w:r/>
            <w:r>
              <w:rPr>
                <w:b w:val="0"/>
                <w:sz w:val="18"/>
              </w:rPr>
              <w:t>Casilla obligatoria (required) con enlace a la política; sin marcarla, la validación impide continuar.</w:t>
            </w:r>
          </w:p>
        </w:tc>
        <w:tc>
          <w:tcPr>
            <w:tcW w:type="dxa" w:w="2448"/>
          </w:tcPr>
          <w:p>
            <w:pPr>
              <w:spacing w:after="0"/>
            </w:pPr>
            <w:r/>
            <w:r>
              <w:rPr>
                <w:b w:val="0"/>
                <w:sz w:val="18"/>
              </w:rPr>
              <w:t>Art. 5 (consentimiento) y art. 6 (información)</w:t>
            </w:r>
          </w:p>
        </w:tc>
      </w:tr>
      <w:tr>
        <w:trPr>
          <w:cantSplit w:val="true"/>
        </w:trPr>
        <w:tc>
          <w:tcPr>
            <w:tcW w:type="dxa" w:w="2088"/>
          </w:tcPr>
          <w:p>
            <w:pPr>
              <w:spacing w:after="0"/>
            </w:pPr>
            <w:r/>
            <w:r>
              <w:rPr>
                <w:b w:val="0"/>
                <w:sz w:val="18"/>
              </w:rPr>
              <w:t>Aviso de simulación</w:t>
            </w:r>
          </w:p>
        </w:tc>
        <w:tc>
          <w:tcPr>
            <w:tcW w:type="dxa" w:w="4824"/>
          </w:tcPr>
          <w:p>
            <w:pPr>
              <w:spacing w:after="0"/>
            </w:pPr>
            <w:r/>
            <w:r>
              <w:rPr>
                <w:b w:val="0"/>
                <w:sz w:val="18"/>
              </w:rPr>
              <w:t>Párrafo asociado al formulario con aria-describedby, leído también por lectores de pantalla.</w:t>
            </w:r>
          </w:p>
        </w:tc>
        <w:tc>
          <w:tcPr>
            <w:tcW w:type="dxa" w:w="2448"/>
          </w:tcPr>
          <w:p>
            <w:pPr>
              <w:spacing w:after="0"/>
            </w:pPr>
            <w:r/>
            <w:r>
              <w:rPr>
                <w:b w:val="0"/>
                <w:sz w:val="18"/>
              </w:rPr>
              <w:t>Art. 6 (deber de información)</w:t>
            </w:r>
          </w:p>
        </w:tc>
      </w:tr>
      <w:tr>
        <w:trPr>
          <w:cantSplit w:val="true"/>
        </w:trPr>
        <w:tc>
          <w:tcPr>
            <w:tcW w:type="dxa" w:w="2088"/>
          </w:tcPr>
          <w:p>
            <w:pPr>
              <w:spacing w:after="0"/>
            </w:pPr>
            <w:r/>
            <w:r>
              <w:rPr>
                <w:b w:val="0"/>
                <w:sz w:val="18"/>
              </w:rPr>
              <w:t>Validación en el cliente</w:t>
            </w:r>
          </w:p>
        </w:tc>
        <w:tc>
          <w:tcPr>
            <w:tcW w:type="dxa" w:w="4824"/>
          </w:tcPr>
          <w:p>
            <w:pPr>
              <w:spacing w:after="0"/>
            </w:pPr>
            <w:r/>
            <w:r>
              <w:rPr>
                <w:b w:val="0"/>
                <w:sz w:val="18"/>
              </w:rPr>
              <w:t>Tipos de campo email y tel, patrón de 4 dígitos en el código postal y autocomplete estándar, que evitan datos erróneos.</w:t>
            </w:r>
          </w:p>
        </w:tc>
        <w:tc>
          <w:tcPr>
            <w:tcW w:type="dxa" w:w="2448"/>
          </w:tcPr>
          <w:p>
            <w:pPr>
              <w:spacing w:after="0"/>
            </w:pPr>
            <w:r/>
            <w:r>
              <w:rPr>
                <w:b w:val="0"/>
                <w:sz w:val="18"/>
              </w:rPr>
              <w:t>Art. 4, inc. 4 (datos exactos)</w:t>
            </w:r>
          </w:p>
        </w:tc>
      </w:tr>
      <w:tr>
        <w:trPr>
          <w:cantSplit w:val="true"/>
        </w:trPr>
        <w:tc>
          <w:tcPr>
            <w:tcW w:type="dxa" w:w="2088"/>
          </w:tcPr>
          <w:p>
            <w:pPr>
              <w:spacing w:after="0"/>
            </w:pPr>
            <w:r/>
            <w:r>
              <w:rPr>
                <w:b w:val="0"/>
                <w:sz w:val="18"/>
              </w:rPr>
              <w:t>Sin datos en la URL</w:t>
            </w:r>
          </w:p>
        </w:tc>
        <w:tc>
          <w:tcPr>
            <w:tcW w:type="dxa" w:w="4824"/>
          </w:tcPr>
          <w:p>
            <w:pPr>
              <w:spacing w:after="0"/>
            </w:pPr>
            <w:r/>
            <w:r>
              <w:rPr>
                <w:b w:val="0"/>
                <w:sz w:val="18"/>
              </w:rPr>
              <w:t>Ningún dato del formulario se agrega a la dirección de la página, por lo que no queda en el historial ni en registros de servidores.</w:t>
            </w:r>
          </w:p>
        </w:tc>
        <w:tc>
          <w:tcPr>
            <w:tcW w:type="dxa" w:w="2448"/>
          </w:tcPr>
          <w:p>
            <w:pPr>
              <w:spacing w:after="0"/>
            </w:pPr>
            <w:r/>
            <w:r>
              <w:rPr>
                <w:b w:val="0"/>
                <w:sz w:val="18"/>
              </w:rPr>
              <w:t>Art. 10 (confidencialidad)</w:t>
            </w:r>
          </w:p>
        </w:tc>
      </w:tr>
      <w:tr>
        <w:trPr>
          <w:cantSplit w:val="true"/>
        </w:trPr>
        <w:tc>
          <w:tcPr>
            <w:tcW w:type="dxa" w:w="2088"/>
          </w:tcPr>
          <w:p>
            <w:pPr>
              <w:spacing w:after="0"/>
            </w:pPr>
            <w:r/>
            <w:r>
              <w:rPr>
                <w:b w:val="0"/>
                <w:sz w:val="18"/>
              </w:rPr>
              <w:t>Sin cookies ni rastreo</w:t>
            </w:r>
          </w:p>
        </w:tc>
        <w:tc>
          <w:tcPr>
            <w:tcW w:type="dxa" w:w="4824"/>
          </w:tcPr>
          <w:p>
            <w:pPr>
              <w:spacing w:after="0"/>
            </w:pPr>
            <w:r/>
            <w:r>
              <w:rPr>
                <w:b w:val="0"/>
                <w:sz w:val="18"/>
              </w:rPr>
              <w:t>El sitio no usa cookies, analítica ni píxeles publicitarios.</w:t>
            </w:r>
          </w:p>
        </w:tc>
        <w:tc>
          <w:tcPr>
            <w:tcW w:type="dxa" w:w="2448"/>
          </w:tcPr>
          <w:p>
            <w:pPr>
              <w:spacing w:after="0"/>
            </w:pPr>
            <w:r/>
            <w:r>
              <w:rPr>
                <w:b w:val="0"/>
                <w:sz w:val="18"/>
              </w:rPr>
              <w:t>Art. 5 y Res. AAIP 47/2018</w:t>
            </w:r>
          </w:p>
        </w:tc>
      </w:tr>
      <w:tr>
        <w:trPr>
          <w:cantSplit w:val="true"/>
        </w:trPr>
        <w:tc>
          <w:tcPr>
            <w:tcW w:type="dxa" w:w="2088"/>
          </w:tcPr>
          <w:p>
            <w:pPr>
              <w:spacing w:after="0"/>
            </w:pPr>
            <w:r/>
            <w:r>
              <w:rPr>
                <w:b w:val="0"/>
                <w:sz w:val="18"/>
              </w:rPr>
              <w:t>Conexión cifrada</w:t>
            </w:r>
          </w:p>
        </w:tc>
        <w:tc>
          <w:tcPr>
            <w:tcW w:type="dxa" w:w="4824"/>
          </w:tcPr>
          <w:p>
            <w:pPr>
              <w:spacing w:after="0"/>
            </w:pPr>
            <w:r/>
            <w:r>
              <w:rPr>
                <w:b w:val="0"/>
                <w:sz w:val="18"/>
              </w:rPr>
              <w:t>Publicación exclusiva mediante HTTPS.</w:t>
            </w:r>
          </w:p>
        </w:tc>
        <w:tc>
          <w:tcPr>
            <w:tcW w:type="dxa" w:w="2448"/>
          </w:tcPr>
          <w:p>
            <w:pPr>
              <w:spacing w:after="0"/>
            </w:pPr>
            <w:r/>
            <w:r>
              <w:rPr>
                <w:b w:val="0"/>
                <w:sz w:val="18"/>
              </w:rPr>
              <w:t>Res. AAIP 47/2018</w:t>
            </w:r>
          </w:p>
        </w:tc>
      </w:tr>
    </w:tbl>
    <w:p>
      <w:pPr>
        <w:spacing w:after="40"/>
      </w:pPr>
    </w:p>
    <w:p>
      <w:pPr>
        <w:pStyle w:val="Heading1"/>
      </w:pPr>
      <w:r>
        <w:t>5. Cuadro de derechos ARCO</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584"/>
            <w:shd w:val="clear" w:color="auto" w:fill="2F4B3C"/>
          </w:tcPr>
          <w:p>
            <w:pPr>
              <w:spacing w:after="0"/>
            </w:pPr>
            <w:r/>
            <w:r>
              <w:rPr>
                <w:b/>
                <w:color w:val="FFFFFF"/>
                <w:sz w:val="18"/>
              </w:rPr>
              <w:t>Derecho</w:t>
            </w:r>
          </w:p>
        </w:tc>
        <w:tc>
          <w:tcPr>
            <w:tcW w:type="dxa" w:w="4176"/>
            <w:shd w:val="clear" w:color="auto" w:fill="2F4B3C"/>
          </w:tcPr>
          <w:p>
            <w:pPr>
              <w:spacing w:after="0"/>
            </w:pPr>
            <w:r/>
            <w:r>
              <w:rPr>
                <w:b/>
                <w:color w:val="FFFFFF"/>
                <w:sz w:val="18"/>
              </w:rPr>
              <w:t>En qué consiste</w:t>
            </w:r>
          </w:p>
        </w:tc>
        <w:tc>
          <w:tcPr>
            <w:tcW w:type="dxa" w:w="1584"/>
            <w:shd w:val="clear" w:color="auto" w:fill="2F4B3C"/>
          </w:tcPr>
          <w:p>
            <w:pPr>
              <w:spacing w:after="0"/>
            </w:pPr>
            <w:r/>
            <w:r>
              <w:rPr>
                <w:b/>
                <w:color w:val="FFFFFF"/>
                <w:sz w:val="18"/>
              </w:rPr>
              <w:t>Base legal</w:t>
            </w:r>
          </w:p>
        </w:tc>
        <w:tc>
          <w:tcPr>
            <w:tcW w:type="dxa" w:w="2016"/>
            <w:shd w:val="clear" w:color="auto" w:fill="2F4B3C"/>
          </w:tcPr>
          <w:p>
            <w:pPr>
              <w:spacing w:after="0"/>
            </w:pPr>
            <w:r/>
            <w:r>
              <w:rPr>
                <w:b/>
                <w:color w:val="FFFFFF"/>
                <w:sz w:val="18"/>
              </w:rPr>
              <w:t>Plazo de respuesta</w:t>
            </w:r>
          </w:p>
        </w:tc>
      </w:tr>
      <w:tr>
        <w:trPr>
          <w:cantSplit w:val="true"/>
        </w:trPr>
        <w:tc>
          <w:tcPr>
            <w:tcW w:type="dxa" w:w="1584"/>
          </w:tcPr>
          <w:p>
            <w:pPr>
              <w:spacing w:after="0"/>
            </w:pPr>
            <w:r/>
            <w:r>
              <w:rPr>
                <w:b w:val="0"/>
                <w:sz w:val="18"/>
              </w:rPr>
              <w:t>Acceso</w:t>
            </w:r>
          </w:p>
        </w:tc>
        <w:tc>
          <w:tcPr>
            <w:tcW w:type="dxa" w:w="4176"/>
          </w:tcPr>
          <w:p>
            <w:pPr>
              <w:spacing w:after="0"/>
            </w:pPr>
            <w:r/>
            <w:r>
              <w:rPr>
                <w:b w:val="0"/>
                <w:sz w:val="18"/>
              </w:rPr>
              <w:t>Conocer qué datos propios tiene Woodbird.</w:t>
            </w:r>
          </w:p>
        </w:tc>
        <w:tc>
          <w:tcPr>
            <w:tcW w:type="dxa" w:w="1584"/>
          </w:tcPr>
          <w:p>
            <w:pPr>
              <w:spacing w:after="0"/>
            </w:pPr>
            <w:r/>
            <w:r>
              <w:rPr>
                <w:b w:val="0"/>
                <w:sz w:val="18"/>
              </w:rPr>
              <w:t>Art. 14</w:t>
            </w:r>
          </w:p>
        </w:tc>
        <w:tc>
          <w:tcPr>
            <w:tcW w:type="dxa" w:w="2016"/>
          </w:tcPr>
          <w:p>
            <w:pPr>
              <w:spacing w:after="0"/>
            </w:pPr>
            <w:r/>
            <w:r>
              <w:rPr>
                <w:b w:val="0"/>
                <w:sz w:val="18"/>
              </w:rPr>
              <w:t>10 días corridos</w:t>
            </w:r>
          </w:p>
        </w:tc>
      </w:tr>
      <w:tr>
        <w:trPr>
          <w:cantSplit w:val="true"/>
        </w:trPr>
        <w:tc>
          <w:tcPr>
            <w:tcW w:type="dxa" w:w="1584"/>
          </w:tcPr>
          <w:p>
            <w:pPr>
              <w:spacing w:after="0"/>
            </w:pPr>
            <w:r/>
            <w:r>
              <w:rPr>
                <w:b w:val="0"/>
                <w:sz w:val="18"/>
              </w:rPr>
              <w:t>Rectificación</w:t>
            </w:r>
          </w:p>
        </w:tc>
        <w:tc>
          <w:tcPr>
            <w:tcW w:type="dxa" w:w="4176"/>
          </w:tcPr>
          <w:p>
            <w:pPr>
              <w:spacing w:after="0"/>
            </w:pPr>
            <w:r/>
            <w:r>
              <w:rPr>
                <w:b w:val="0"/>
                <w:sz w:val="18"/>
              </w:rPr>
              <w:t>Corregir, actualizar o completar datos.</w:t>
            </w:r>
          </w:p>
        </w:tc>
        <w:tc>
          <w:tcPr>
            <w:tcW w:type="dxa" w:w="1584"/>
          </w:tcPr>
          <w:p>
            <w:pPr>
              <w:spacing w:after="0"/>
            </w:pPr>
            <w:r/>
            <w:r>
              <w:rPr>
                <w:b w:val="0"/>
                <w:sz w:val="18"/>
              </w:rPr>
              <w:t>Art. 16</w:t>
            </w:r>
          </w:p>
        </w:tc>
        <w:tc>
          <w:tcPr>
            <w:tcW w:type="dxa" w:w="2016"/>
          </w:tcPr>
          <w:p>
            <w:pPr>
              <w:spacing w:after="0"/>
            </w:pPr>
            <w:r/>
            <w:r>
              <w:rPr>
                <w:b w:val="0"/>
                <w:sz w:val="18"/>
              </w:rPr>
              <w:t>5 días hábiles</w:t>
            </w:r>
          </w:p>
        </w:tc>
      </w:tr>
      <w:tr>
        <w:trPr>
          <w:cantSplit w:val="true"/>
        </w:trPr>
        <w:tc>
          <w:tcPr>
            <w:tcW w:type="dxa" w:w="1584"/>
          </w:tcPr>
          <w:p>
            <w:pPr>
              <w:spacing w:after="0"/>
            </w:pPr>
            <w:r/>
            <w:r>
              <w:rPr>
                <w:b w:val="0"/>
                <w:sz w:val="18"/>
              </w:rPr>
              <w:t>Cancelación</w:t>
            </w:r>
          </w:p>
        </w:tc>
        <w:tc>
          <w:tcPr>
            <w:tcW w:type="dxa" w:w="4176"/>
          </w:tcPr>
          <w:p>
            <w:pPr>
              <w:spacing w:after="0"/>
            </w:pPr>
            <w:r/>
            <w:r>
              <w:rPr>
                <w:b w:val="0"/>
                <w:sz w:val="18"/>
              </w:rPr>
              <w:t>Suprimir datos que ya no son necesarios.</w:t>
            </w:r>
          </w:p>
        </w:tc>
        <w:tc>
          <w:tcPr>
            <w:tcW w:type="dxa" w:w="1584"/>
          </w:tcPr>
          <w:p>
            <w:pPr>
              <w:spacing w:after="0"/>
            </w:pPr>
            <w:r/>
            <w:r>
              <w:rPr>
                <w:b w:val="0"/>
                <w:sz w:val="18"/>
              </w:rPr>
              <w:t>Art. 16</w:t>
            </w:r>
          </w:p>
        </w:tc>
        <w:tc>
          <w:tcPr>
            <w:tcW w:type="dxa" w:w="2016"/>
          </w:tcPr>
          <w:p>
            <w:pPr>
              <w:spacing w:after="0"/>
            </w:pPr>
            <w:r/>
            <w:r>
              <w:rPr>
                <w:b w:val="0"/>
                <w:sz w:val="18"/>
              </w:rPr>
              <w:t>5 días hábiles</w:t>
            </w:r>
          </w:p>
        </w:tc>
      </w:tr>
      <w:tr>
        <w:trPr>
          <w:cantSplit w:val="true"/>
        </w:trPr>
        <w:tc>
          <w:tcPr>
            <w:tcW w:type="dxa" w:w="1584"/>
          </w:tcPr>
          <w:p>
            <w:pPr>
              <w:spacing w:after="0"/>
            </w:pPr>
            <w:r/>
            <w:r>
              <w:rPr>
                <w:b w:val="0"/>
                <w:sz w:val="18"/>
              </w:rPr>
              <w:t>Oposición</w:t>
            </w:r>
          </w:p>
        </w:tc>
        <w:tc>
          <w:tcPr>
            <w:tcW w:type="dxa" w:w="4176"/>
          </w:tcPr>
          <w:p>
            <w:pPr>
              <w:spacing w:after="0"/>
            </w:pPr>
            <w:r/>
            <w:r>
              <w:rPr>
                <w:b w:val="0"/>
                <w:sz w:val="18"/>
              </w:rPr>
              <w:t>Oponerse a un uso determinado (en particular, publicitario) y revocar el consentimiento.</w:t>
            </w:r>
          </w:p>
        </w:tc>
        <w:tc>
          <w:tcPr>
            <w:tcW w:type="dxa" w:w="1584"/>
          </w:tcPr>
          <w:p>
            <w:pPr>
              <w:spacing w:after="0"/>
            </w:pPr>
            <w:r/>
            <w:r>
              <w:rPr>
                <w:b w:val="0"/>
                <w:sz w:val="18"/>
              </w:rPr>
              <w:t>Art. 27, inc. 3</w:t>
            </w:r>
          </w:p>
        </w:tc>
        <w:tc>
          <w:tcPr>
            <w:tcW w:type="dxa" w:w="2016"/>
          </w:tcPr>
          <w:p>
            <w:pPr>
              <w:spacing w:after="0"/>
            </w:pPr>
            <w:r/>
            <w:r>
              <w:rPr>
                <w:b w:val="0"/>
                <w:sz w:val="18"/>
              </w:rPr>
              <w:t>Retiro o bloqueo a simple pedido</w:t>
            </w:r>
          </w:p>
        </w:tc>
      </w:tr>
    </w:tbl>
    <w:p>
      <w:pPr>
        <w:spacing w:after="40"/>
      </w:pPr>
    </w:p>
    <w:p>
      <w:pPr>
        <w:jc w:val="both"/>
      </w:pPr>
      <w:r>
        <w:rPr>
          <w:b/>
        </w:rPr>
        <w:t xml:space="preserve">Ejercicio. </w:t>
      </w:r>
      <w:r>
        <w:t>Canal único: correo electrónico a la dirección de privacidad, con copia del documento de identidad para acreditar la titularidad. El trámite es gratuito. Si no se responde en plazo, el titular queda habilitado para la acción de hábeas data o el reclamo ante la AAIP.</w:t>
      </w:r>
    </w:p>
    <w:p>
      <w:pPr>
        <w:pStyle w:val="Heading1"/>
      </w:pPr>
      <w:r>
        <w:t>6. Publicación en el sitio</w:t>
      </w:r>
    </w:p>
    <w:p>
      <w:pPr>
        <w:pStyle w:val="ListBullet"/>
        <w:spacing w:after="60"/>
      </w:pPr>
      <w:r>
        <w:rPr>
          <w:b/>
        </w:rPr>
        <w:t xml:space="preserve">Página de la política. </w:t>
      </w:r>
      <w:r>
        <w:t>politica-privacidad.html, con el texto completo de la sección 3 y un índice de cláusulas.</w:t>
      </w:r>
    </w:p>
    <w:p>
      <w:pPr>
        <w:pStyle w:val="ListBullet"/>
        <w:spacing w:after="60"/>
      </w:pPr>
      <w:r>
        <w:rPr>
          <w:b/>
        </w:rPr>
        <w:t xml:space="preserve">Enlace permanente. </w:t>
      </w:r>
      <w:r>
        <w:t>En el pie de todas las páginas, junto a la Declaración ética de IA.</w:t>
      </w:r>
    </w:p>
    <w:p>
      <w:pPr>
        <w:pStyle w:val="ListBullet"/>
        <w:spacing w:after="60"/>
      </w:pPr>
      <w:r>
        <w:rPr>
          <w:b/>
        </w:rPr>
        <w:t xml:space="preserve">Formulario de compra. </w:t>
      </w:r>
      <w:r>
        <w:t>Aviso de simulación, teléfono marcado como opcional y casilla de consentimiento obligatoria con enlace a la política.</w:t>
      </w:r>
    </w:p>
    <w:p>
      <w:pPr>
        <w:pStyle w:val="Heading1"/>
      </w:pPr>
      <w:r>
        <w:t>7. Requisitos pendientes antes de una operación real</w:t>
      </w:r>
    </w:p>
    <w:p>
      <w:pPr>
        <w:jc w:val="both"/>
      </w:pPr>
      <w:r>
        <w:t>Mientras Woodbird funcione como simulación no existe una base de datos de usuarios. Si el proyecto pasara a operar con ventas reales, como prevé el Acta de Constitución, antes de hacerlo se deberá:</w:t>
      </w:r>
    </w:p>
    <w:p>
      <w:pPr>
        <w:pStyle w:val="ListBullet"/>
        <w:spacing w:after="60"/>
      </w:pPr>
      <w:r>
        <w:t>Inscribir la base de datos en el Registro Nacional de Bases de Datos de la AAIP (art. 21).</w:t>
      </w:r>
    </w:p>
    <w:p>
      <w:pPr>
        <w:pStyle w:val="ListBullet"/>
        <w:spacing w:after="60"/>
      </w:pPr>
      <w:r>
        <w:t>Formalizar por contrato las obligaciones de seguridad y confidencialidad del proveedor de alojamiento y de cualquier otro encargado del tratamiento (art. 25).</w:t>
      </w:r>
    </w:p>
    <w:p>
      <w:pPr>
        <w:pStyle w:val="ListBullet"/>
        <w:spacing w:after="60"/>
      </w:pPr>
      <w:r>
        <w:t>Alojar las tipografías en el propio servidor para que Google Fonts deje de recibir la dirección IP de los usuarios y evitar la transferencia internacional (art. 12).</w:t>
      </w:r>
    </w:p>
    <w:p>
      <w:pPr>
        <w:pStyle w:val="ListBullet"/>
        <w:spacing w:after="60"/>
      </w:pPr>
      <w:r>
        <w:t>Definir el plazo concreto de conservación de los pedidos y el procedimiento de destrucción.</w:t>
      </w:r>
    </w:p>
    <w:p>
      <w:pPr>
        <w:pStyle w:val="ListBullet"/>
        <w:spacing w:after="60"/>
      </w:pPr>
      <w:r>
        <w:t>Actualizar esta política a una nueva versión e informar el cambio en el sitio.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Calibri" w:hAnsi="Calibri"/>
      <w:b/>
      <w:bCs/>
      <w:color w:val="2F4B3C"/>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b/>
      <w:bCs/>
      <w:color w:val="2F4B3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