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4B3C"/>
          <w:sz w:val="36"/>
        </w:rPr>
        <w:t>SOLICITUD DE CAMBIO DE ALCANCE</w:t>
      </w:r>
    </w:p>
    <w:p>
      <w:r>
        <w:rPr>
          <w:color w:val="444444"/>
          <w:sz w:val="24"/>
        </w:rPr>
        <w:t>Woodbird · Aves decorativas de madera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shd w:val="clear" w:color="auto" w:fill="E8EDE9"/>
          </w:tcPr>
          <w:p>
            <w:pPr>
              <w:spacing w:after="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Materia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Dirección y Gestión de Proyectos Tecnológicos (DGP)</w:t>
            </w:r>
          </w:p>
        </w:tc>
      </w:tr>
      <w:tr>
        <w:tc>
          <w:tcPr>
            <w:tcW w:type="dxa" w:w="2268"/>
            <w:shd w:val="clear" w:color="auto" w:fill="E8EDE9"/>
          </w:tcPr>
          <w:p>
            <w:pPr>
              <w:spacing w:after="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Actividad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Sprint 2 — Semana 6 — Respuesta al riesgo R4 (inconsistencia de alcance)</w:t>
            </w:r>
          </w:p>
        </w:tc>
      </w:tr>
      <w:tr>
        <w:tc>
          <w:tcPr>
            <w:tcW w:type="dxa" w:w="2268"/>
            <w:shd w:val="clear" w:color="auto" w:fill="E8EDE9"/>
          </w:tcPr>
          <w:p>
            <w:pPr>
              <w:spacing w:after="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Startup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Woodbird — Aves decorativas de madera</w:t>
            </w:r>
          </w:p>
        </w:tc>
      </w:tr>
      <w:tr>
        <w:tc>
          <w:tcPr>
            <w:tcW w:type="dxa" w:w="2268"/>
            <w:shd w:val="clear" w:color="auto" w:fill="E8EDE9"/>
          </w:tcPr>
          <w:p>
            <w:pPr>
              <w:spacing w:after="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Autor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Reiss Jorge Nicolás (Project Manager)</w:t>
            </w:r>
          </w:p>
        </w:tc>
      </w:tr>
      <w:tr>
        <w:tc>
          <w:tcPr>
            <w:tcW w:type="dxa" w:w="2268"/>
            <w:shd w:val="clear" w:color="auto" w:fill="E8EDE9"/>
          </w:tcPr>
          <w:p>
            <w:pPr>
              <w:spacing w:after="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Docente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Ibañez Erick</w:t>
            </w:r>
          </w:p>
        </w:tc>
      </w:tr>
      <w:tr>
        <w:tc>
          <w:tcPr>
            <w:tcW w:type="dxa" w:w="2268"/>
            <w:shd w:val="clear" w:color="auto" w:fill="E8EDE9"/>
          </w:tcPr>
          <w:p>
            <w:pPr>
              <w:spacing w:after="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Fecha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28 de septiembre de 2026</w:t>
            </w:r>
          </w:p>
        </w:tc>
      </w:tr>
    </w:tbl>
    <w:p/>
    <w:p>
      <w:pPr>
        <w:pStyle w:val="Heading1"/>
      </w:pPr>
      <w:r>
        <w:t>1. 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51"/>
            <w:shd w:val="clear" w:color="auto" w:fill="E8EDE9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N.º de solicitud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SC-01</w:t>
            </w:r>
          </w:p>
        </w:tc>
      </w:tr>
      <w:tr>
        <w:tc>
          <w:tcPr>
            <w:tcW w:type="dxa" w:w="2551"/>
            <w:shd w:val="clear" w:color="auto" w:fill="E8EDE9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Documento que se modifica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Acta de Constitución del Proyecto (Sprint 1, entregada el 31/08)</w:t>
            </w:r>
          </w:p>
        </w:tc>
      </w:tr>
      <w:tr>
        <w:tc>
          <w:tcPr>
            <w:tcW w:type="dxa" w:w="2551"/>
            <w:shd w:val="clear" w:color="auto" w:fill="E8EDE9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Solicitante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Reiss Jorge Nicolás, Project Manager</w:t>
            </w:r>
          </w:p>
        </w:tc>
      </w:tr>
      <w:tr>
        <w:tc>
          <w:tcPr>
            <w:tcW w:type="dxa" w:w="2551"/>
            <w:shd w:val="clear" w:color="auto" w:fill="E8EDE9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Aprueba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Ibañez Erick, docente responsable. Según la sección 7 del Acta, tiene la autoridad final sobre los cambios que afectan el alcance general y los requisitos de la cátedra.</w:t>
            </w:r>
          </w:p>
        </w:tc>
      </w:tr>
      <w:tr>
        <w:tc>
          <w:tcPr>
            <w:tcW w:type="dxa" w:w="2551"/>
            <w:shd w:val="clear" w:color="auto" w:fill="E8EDE9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Tipo de cambio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Reducción y aclaración de alcance. No cambia la fecha de presentación final.</w:t>
            </w:r>
          </w:p>
        </w:tc>
      </w:tr>
      <w:tr>
        <w:tc>
          <w:tcPr>
            <w:tcW w:type="dxa" w:w="2551"/>
            <w:shd w:val="clear" w:color="auto" w:fill="E8EDE9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Media: no bloquea la entrega del Sprint 2, pero condiciona la planificación de los Sprints 3 y 4.</w:t>
            </w:r>
          </w:p>
        </w:tc>
      </w:tr>
      <w:tr>
        <w:tc>
          <w:tcPr>
            <w:tcW w:type="dxa" w:w="2551"/>
            <w:shd w:val="clear" w:color="auto" w:fill="E8EDE9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Riesgo que responde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R4 de la Matriz de Riesgos (P3 × I4 = 12, Medio)</w:t>
            </w:r>
          </w:p>
        </w:tc>
      </w:tr>
    </w:tbl>
    <w:p/>
    <w:p>
      <w:pPr>
        <w:pStyle w:val="Heading1"/>
      </w:pPr>
      <w:r>
        <w:t>2. Descripción del cambio</w:t>
      </w:r>
    </w:p>
    <w:p>
      <w:r>
        <w:rPr>
          <w:b w:val="0"/>
        </w:rPr>
        <w:t>Se solicita alinear el Acta de Constitución con las consignas del proyecto EcoStart IA. El Acta describe una tienda que procesa pagos reales, con backend, base de datos y un proveedor externo de pagos. Las consignas, en cambio, piden un e-commerce de demostración, con productos ficticios generados con IA y una compra simulada.</w:t>
      </w:r>
    </w:p>
    <w:p>
      <w:r>
        <w:rPr>
          <w:b w:val="0"/>
        </w:rPr>
        <w:t>El cambio propuesto es:</w:t>
      </w:r>
    </w:p>
    <w:p>
      <w:pPr>
        <w:pStyle w:val="ListBullet"/>
      </w:pPr>
      <w:r>
        <w:rPr>
          <w:b/>
        </w:rPr>
        <w:t>La compra es una simulación de principio a fin.</w:t>
      </w:r>
      <w:r>
        <w:rPr>
          <w:b w:val="0"/>
        </w:rPr>
        <w:t xml:space="preserve"> El checkout valida los datos y confirma un pedido simulado, pero no cobra, no envía los datos a ningún servidor y no se integra con una pasarela de pago real.</w:t>
      </w:r>
    </w:p>
    <w:p>
      <w:pPr>
        <w:pStyle w:val="ListBullet"/>
      </w:pPr>
      <w:r>
        <w:rPr>
          <w:b/>
        </w:rPr>
        <w:t>El catálogo es estático.</w:t>
      </w:r>
      <w:r>
        <w:rPr>
          <w:b w:val="0"/>
        </w:rPr>
        <w:t xml:space="preserve"> Los productos se modelan en productos.json, sin base de datos ni servidor propio.</w:t>
      </w:r>
    </w:p>
    <w:p>
      <w:pPr>
        <w:pStyle w:val="ListBullet"/>
      </w:pPr>
      <w:r>
        <w:rPr>
          <w:b/>
        </w:rPr>
        <w:t>Los productos son ficticios.</w:t>
      </w:r>
      <w:r>
        <w:rPr>
          <w:b w:val="0"/>
        </w:rPr>
        <w:t xml:space="preserve"> Las piezas y sus imágenes se generan con IA y se identifican con el sello «Imagen con IA», según la Declaración Ética de IA del Sprint 1.</w:t>
      </w:r>
    </w:p>
    <w:p>
      <w:pPr>
        <w:pStyle w:val="Heading1"/>
      </w:pPr>
      <w:r>
        <w:t>3. Justificación</w:t>
      </w:r>
    </w:p>
    <w:p>
      <w:pPr>
        <w:pStyle w:val="ListBullet"/>
      </w:pPr>
      <w:r>
        <w:rPr>
          <w:b/>
        </w:rPr>
        <w:t>Lo exigen las consignas.</w:t>
      </w:r>
      <w:r>
        <w:rPr>
          <w:b w:val="0"/>
        </w:rPr>
        <w:t xml:space="preserve"> La guía de actividades describe «un e-commerce de productos ficticios generados por Inteligencia Artificial». La consigna del Sprint 2 define productos.json como «archivo de almacenamiento local estático» y la política de privacidad trata los «datos ingresados en la simulación de compra».</w:t>
      </w:r>
    </w:p>
    <w:p>
      <w:pPr>
        <w:pStyle w:val="ListBullet"/>
      </w:pPr>
      <w:r>
        <w:rPr>
          <w:b/>
        </w:rPr>
        <w:t>Coherencia legal.</w:t>
      </w:r>
      <w:r>
        <w:rPr>
          <w:b w:val="0"/>
        </w:rPr>
        <w:t xml:space="preserve"> La Política de privacidad publicada el 22/09 (Ley 25.326) declara que los datos del formulario no salen del navegador. Las pruebas del 28/09 lo verificaron: durante la compra no hay ninguna petición de red. Si se integrara un pago real, habría que redactar de nuevo la política y registrar la base de datos ante la Agencia de Acceso a la Información Pública.</w:t>
      </w:r>
    </w:p>
    <w:p>
      <w:pPr>
        <w:pStyle w:val="ListBullet"/>
      </w:pPr>
      <w:r>
        <w:rPr>
          <w:b/>
        </w:rPr>
        <w:t>Viabilidad.</w:t>
      </w:r>
      <w:r>
        <w:rPr>
          <w:b w:val="0"/>
        </w:rPr>
        <w:t xml:space="preserve"> Con un equipo de una sola persona (riesgo R1), integrar un backend y una pasarela de pagos reales en el tiempo que queda compromete la aprobación del proyecto. Además, sin productos físicos reales no hay nada que vender.</w:t>
      </w:r>
    </w:p>
    <w:p>
      <w:pPr>
        <w:pStyle w:val="ListBullet"/>
      </w:pPr>
      <w:r>
        <w:rPr>
          <w:b/>
        </w:rPr>
        <w:t>El trabajo hecho ya sigue este alcance.</w:t>
      </w:r>
      <w:r>
        <w:rPr>
          <w:b w:val="0"/>
        </w:rPr>
        <w:t xml:space="preserve"> El sitio entregado en el Sprint 2 funciona así, así que el cambio no genera retrabajo: formaliza lo que ya se hizo.</w:t>
      </w:r>
    </w:p>
    <w:p>
      <w:pPr>
        <w:pStyle w:val="Heading1"/>
      </w:pPr>
      <w:r>
        <w:t>4. Cambios propuestos en el Acta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1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Sección del Acta</w:t>
            </w:r>
          </w:p>
        </w:tc>
        <w:tc>
          <w:tcPr>
            <w:tcW w:type="dxa" w:w="3628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Texto actual</w:t>
            </w:r>
          </w:p>
        </w:tc>
        <w:tc>
          <w:tcPr>
            <w:tcW w:type="dxa" w:w="3855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Texto propuesto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 Propósito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«…realizar compras mediante un sistema de pago integrado.»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«…simular una compra completa, sin cobros reales, con productos ficticios generados con IA.»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 Objetivo del catálogo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Visualizar al menos 10 productos con nombre, imagen, descripción y precio.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Sin cambios. productos.json ya modela 12 productos. Se aclara que las imágenes son generadas con IA.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 Objetivo de pagos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Integrar un sistema de pago que permita simular o procesar una transacción.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Simular una transacción de principio a fin, sin procesar pagos reales ni enviar datos personales.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3. Riesgos de alto nivel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Integración con la API de pagos; compatibilidad entre frontend, backend y base de datos; servicios externos de pago.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 reemplazan por los riesgos de la Matriz de Riesgos del Sprint 2, que ya reflejan el alcance real.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4. Hito de la semana 7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Desarrollo del backend y base de datos.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Catálogo y carrito dinámicos con JavaScript a partir de productos.json (sujeto a la consigna del Sprint 3).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4. Hito de la semana 9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Integración del sistema de pagos.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Simulación completa del pago, sin procesamiento real (sujeto a la consigna del Sprint 4).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5. Presupuesto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$20.000 para herramientas y servicios del sistema de pagos.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 reasignan a recursos gráficos: generación de las imágenes de producto con IA (riesgo R6). El total sigue en $150.000.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6. Stakeholders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Proveedor del servicio de pagos: plataforma externa que procesa las transacciones.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 elimina. No hay procesamiento de pagos.</w:t>
            </w:r>
          </w:p>
        </w:tc>
      </w:tr>
    </w:tbl>
    <w:p/>
    <w:p>
      <w:pPr>
        <w:pStyle w:val="Heading1"/>
      </w:pPr>
      <w:r>
        <w:t>5. Análisis de impacto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84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Dimensión</w:t>
            </w:r>
          </w:p>
        </w:tc>
        <w:tc>
          <w:tcPr>
            <w:tcW w:type="dxa" w:w="7370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Impacto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Alcance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 reduce: salen el backend, la base de datos y la pasarela de pagos. El resto de los objetivos del Acta no cambia.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Cronograma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Positivo. Se liberan las semanas 7 y 9, previstas para backend y pagos, que quedan para las consignas de los Sprints 3 y 4. La fecha de presentación final no cambia.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Costo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Neutro. El total sigue en $150.000 y los $20.000 de pagos pasan a recursos gráficos.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Calidad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Sin cambios. Los objetivos de catálogo, carrito, checkout y pruebas se mantienen.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Riesgos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Cierra R4. Baja la exposición de R1, porque sale la tarea técnica más grande. Elimina los riesgos de pagos del Acta.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Legal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Coherente con la Política de privacidad y la Declaración Ética de IA ya publicadas. No se tratan datos personales fuera del navegador.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Documentos afectados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Acta de Constitución (secciones 1 a 6). EDT: se reemplazan los paquetes de backend y pagos cuando se publiquen las consignas del Sprint 3.</w:t>
            </w:r>
          </w:p>
        </w:tc>
      </w:tr>
    </w:tbl>
    <w:p/>
    <w:p>
      <w:pPr>
        <w:pStyle w:val="Heading1"/>
      </w:pPr>
      <w:r>
        <w:t>6. Decisión del docente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shd w:val="clear" w:color="auto" w:fill="E8EDE9"/>
          </w:tcPr>
          <w:p>
            <w:pPr>
              <w:spacing w:after="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Decisión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☐ Aprobada     ☐ Aprobada con cambios     ☐ Rechazada</w:t>
            </w:r>
          </w:p>
        </w:tc>
      </w:tr>
      <w:tr>
        <w:tc>
          <w:tcPr>
            <w:tcW w:type="dxa" w:w="2268"/>
            <w:shd w:val="clear" w:color="auto" w:fill="E8EDE9"/>
          </w:tcPr>
          <w:p>
            <w:pPr>
              <w:spacing w:after="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Observaciones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br/>
              <w:br/>
            </w:r>
          </w:p>
        </w:tc>
      </w:tr>
      <w:tr>
        <w:tc>
          <w:tcPr>
            <w:tcW w:type="dxa" w:w="2268"/>
            <w:shd w:val="clear" w:color="auto" w:fill="E8EDE9"/>
          </w:tcPr>
          <w:p>
            <w:pPr>
              <w:spacing w:after="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Firma del docente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br/>
            </w:r>
          </w:p>
        </w:tc>
      </w:tr>
      <w:tr>
        <w:tc>
          <w:tcPr>
            <w:tcW w:type="dxa" w:w="2268"/>
            <w:shd w:val="clear" w:color="auto" w:fill="E8EDE9"/>
          </w:tcPr>
          <w:p>
            <w:pPr>
              <w:spacing w:after="0"/>
            </w:pPr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Fecha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21"/>
              </w:rPr>
            </w:r>
            <w:r>
              <w:rPr>
                <w:b w:val="0"/>
                <w:sz w:val="21"/>
              </w:rPr>
              <w:t>____ / ____ / 2026</w:t>
            </w:r>
          </w:p>
        </w:tc>
      </w:tr>
    </w:tbl>
    <w:p/>
    <w:p>
      <w:r>
        <w:rPr>
          <w:b w:val="0"/>
        </w:rPr>
        <w:t>Si se aprueba, el Project Manager actualiza el Acta de Constitución con el texto de la sección 4 y registra el cierre del riesgo R4 en la Matriz de Riesgos. Si se rechaza, R4 queda abierto y se replanifican las semanas 7 a 11 para incluir el backend y la integración de pagos.</w:t>
      </w:r>
    </w:p>
    <w:p>
      <w:r>
        <w:rPr>
          <w:b/>
        </w:rPr>
        <w:t xml:space="preserve">Project Manager: </w:t>
      </w:r>
      <w:r>
        <w:t>Reiss Jorge Nicolás</w:t>
      </w:r>
    </w:p>
    <w:p>
      <w:r>
        <w:rPr>
          <w:b/>
        </w:rPr>
        <w:t xml:space="preserve">Firma: </w:t>
      </w:r>
      <w:r>
        <w:t>______________________________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Calibri" w:hAnsi="Calibri"/>
      <w:b/>
      <w:bCs/>
      <w:color w:val="2F4B3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Calibri" w:hAnsi="Calibri"/>
      <w:b/>
      <w:bCs/>
      <w:color w:val="2F4B3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cambio de alcance SC-01 — Woodbird</dc:title>
  <dc:subject/>
  <dc:creator>Reiss Jorge Nicolás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