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F4B3C"/>
          <w:sz w:val="36"/>
        </w:rPr>
        <w:t>PANEL DE MÉTRICAS DE CONVERSIÓN (KPIs)</w:t>
      </w:r>
    </w:p>
    <w:p>
      <w:r>
        <w:rPr>
          <w:color w:val="444444"/>
          <w:sz w:val="24"/>
        </w:rPr>
        <w:t>Woodbird — Aves decorativas de madera</w:t>
      </w:r>
    </w:p>
    <w:tbl>
      <w:tblPr>
        <w:tblStyle w:val="TableGrid"/>
        <w:tblW w:type="auto" w:w="0"/>
        <w:tblLook w:firstColumn="1" w:firstRow="1" w:lastColumn="0" w:lastRow="0" w:noHBand="0" w:noVBand="1" w:val="04A0"/>
      </w:tblPr>
      <w:tblGrid>
        <w:gridCol w:w="4680"/>
        <w:gridCol w:w="4680"/>
      </w:tblGrid>
      <w:tr>
        <w:tc>
          <w:tcPr>
            <w:tcW w:type="dxa" w:w="2016"/>
            <w:shd w:val="clear" w:color="auto" w:fill="E3EBE5"/>
          </w:tcPr>
          <w:p>
            <w:pPr>
              <w:spacing w:after="0"/>
            </w:pPr>
            <w:r>
              <w:rPr>
                <w:b/>
                <w:sz w:val="18"/>
              </w:rPr>
              <w:t>Materia</w:t>
            </w:r>
          </w:p>
        </w:tc>
        <w:tc>
          <w:tcPr>
            <w:tcW w:type="dxa" w:w="7344"/>
          </w:tcPr>
          <w:p>
            <w:pPr>
              <w:spacing w:after="0"/>
            </w:pPr>
            <w:r>
              <w:rPr>
                <w:b w:val="0"/>
                <w:sz w:val="18"/>
              </w:rPr>
              <w:t>Dirección y Gestión de Proyectos Tecnológicos (DGP)</w:t>
            </w:r>
          </w:p>
        </w:tc>
      </w:tr>
      <w:tr>
        <w:tc>
          <w:tcPr>
            <w:tcW w:type="dxa" w:w="2016"/>
            <w:shd w:val="clear" w:color="auto" w:fill="E3EBE5"/>
          </w:tcPr>
          <w:p>
            <w:pPr>
              <w:spacing w:after="0"/>
            </w:pPr>
            <w:r>
              <w:rPr>
                <w:b/>
                <w:sz w:val="18"/>
              </w:rPr>
              <w:t>Actividad</w:t>
            </w:r>
          </w:p>
        </w:tc>
        <w:tc>
          <w:tcPr>
            <w:tcW w:type="dxa" w:w="7344"/>
          </w:tcPr>
          <w:p>
            <w:pPr>
              <w:spacing w:after="0"/>
            </w:pPr>
            <w:r>
              <w:rPr>
                <w:b w:val="0"/>
                <w:sz w:val="18"/>
              </w:rPr>
              <w:t>Sprint 3 — Tarea 3.6: Definición del panel de indicadores clave de rendimiento del e-commerce</w:t>
            </w:r>
          </w:p>
        </w:tc>
      </w:tr>
      <w:tr>
        <w:tc>
          <w:tcPr>
            <w:tcW w:type="dxa" w:w="2016"/>
            <w:shd w:val="clear" w:color="auto" w:fill="E3EBE5"/>
          </w:tcPr>
          <w:p>
            <w:pPr>
              <w:spacing w:after="0"/>
            </w:pPr>
            <w:r>
              <w:rPr>
                <w:b/>
                <w:sz w:val="18"/>
              </w:rPr>
              <w:t>Rol</w:t>
            </w:r>
          </w:p>
        </w:tc>
        <w:tc>
          <w:tcPr>
            <w:tcW w:type="dxa" w:w="7344"/>
          </w:tcPr>
          <w:p>
            <w:pPr>
              <w:spacing w:after="0"/>
            </w:pPr>
            <w:r>
              <w:rPr>
                <w:b w:val="0"/>
                <w:sz w:val="18"/>
              </w:rPr>
              <w:t>Responsable de Negocio</w:t>
            </w:r>
          </w:p>
        </w:tc>
      </w:tr>
      <w:tr>
        <w:tc>
          <w:tcPr>
            <w:tcW w:type="dxa" w:w="2016"/>
            <w:shd w:val="clear" w:color="auto" w:fill="E3EBE5"/>
          </w:tcPr>
          <w:p>
            <w:pPr>
              <w:spacing w:after="0"/>
            </w:pPr>
            <w:r>
              <w:rPr>
                <w:b/>
                <w:sz w:val="18"/>
              </w:rPr>
              <w:t>Startup</w:t>
            </w:r>
          </w:p>
        </w:tc>
        <w:tc>
          <w:tcPr>
            <w:tcW w:type="dxa" w:w="7344"/>
          </w:tcPr>
          <w:p>
            <w:pPr>
              <w:spacing w:after="0"/>
            </w:pPr>
            <w:r>
              <w:rPr>
                <w:b w:val="0"/>
                <w:sz w:val="18"/>
              </w:rPr>
              <w:t>Woodbird — Aves decorativas de madera</w:t>
            </w:r>
          </w:p>
        </w:tc>
      </w:tr>
      <w:tr>
        <w:tc>
          <w:tcPr>
            <w:tcW w:type="dxa" w:w="2016"/>
            <w:shd w:val="clear" w:color="auto" w:fill="E3EBE5"/>
          </w:tcPr>
          <w:p>
            <w:pPr>
              <w:spacing w:after="0"/>
            </w:pPr>
            <w:r>
              <w:rPr>
                <w:b/>
                <w:sz w:val="18"/>
              </w:rPr>
              <w:t>Autor</w:t>
            </w:r>
          </w:p>
        </w:tc>
        <w:tc>
          <w:tcPr>
            <w:tcW w:type="dxa" w:w="7344"/>
          </w:tcPr>
          <w:p>
            <w:pPr>
              <w:spacing w:after="0"/>
            </w:pPr>
            <w:r>
              <w:rPr>
                <w:b w:val="0"/>
                <w:sz w:val="18"/>
              </w:rPr>
              <w:t>Reiss Jorge Nicolás</w:t>
            </w:r>
          </w:p>
        </w:tc>
      </w:tr>
      <w:tr>
        <w:tc>
          <w:tcPr>
            <w:tcW w:type="dxa" w:w="2016"/>
            <w:shd w:val="clear" w:color="auto" w:fill="E3EBE5"/>
          </w:tcPr>
          <w:p>
            <w:pPr>
              <w:spacing w:after="0"/>
            </w:pPr>
            <w:r>
              <w:rPr>
                <w:b/>
                <w:sz w:val="18"/>
              </w:rPr>
              <w:t>Docente</w:t>
            </w:r>
          </w:p>
        </w:tc>
        <w:tc>
          <w:tcPr>
            <w:tcW w:type="dxa" w:w="7344"/>
          </w:tcPr>
          <w:p>
            <w:pPr>
              <w:spacing w:after="0"/>
            </w:pPr>
            <w:r>
              <w:rPr>
                <w:b w:val="0"/>
                <w:sz w:val="18"/>
              </w:rPr>
              <w:t>Ibañez Erick</w:t>
            </w:r>
          </w:p>
        </w:tc>
      </w:tr>
      <w:tr>
        <w:tc>
          <w:tcPr>
            <w:tcW w:type="dxa" w:w="2016"/>
            <w:shd w:val="clear" w:color="auto" w:fill="E3EBE5"/>
          </w:tcPr>
          <w:p>
            <w:pPr>
              <w:spacing w:after="0"/>
            </w:pPr>
            <w:r>
              <w:rPr>
                <w:b/>
                <w:sz w:val="18"/>
              </w:rPr>
              <w:t>Fecha</w:t>
            </w:r>
          </w:p>
        </w:tc>
        <w:tc>
          <w:tcPr>
            <w:tcW w:type="dxa" w:w="7344"/>
          </w:tcPr>
          <w:p>
            <w:pPr>
              <w:spacing w:after="0"/>
            </w:pPr>
            <w:r>
              <w:rPr>
                <w:b w:val="0"/>
                <w:sz w:val="18"/>
              </w:rPr>
              <w:t>22 de octubre de 2026</w:t>
            </w:r>
          </w:p>
        </w:tc>
      </w:tr>
    </w:tbl>
    <w:p/>
    <w:p>
      <w:pPr>
        <w:pStyle w:val="Heading1"/>
      </w:pPr>
      <w:r>
        <w:t>1. Objeto</w:t>
      </w:r>
    </w:p>
    <w:p>
      <w:r>
        <w:t>Este panel define cómo se mide la eficiencia del e-commerce de Woodbird: qué indicadores se siguen, cómo se calculan, de dónde salen los datos, cada cuánto se revisan y qué valor se considera bueno. Cierra el ciclo de la campaña de Instagram (Tarea 3.5): cada pieza lleva un enlace con parámetros UTM y cada etapa del embudo tiene su indicador.</w:t>
      </w:r>
    </w:p>
    <w:p>
      <w:r>
        <w:t>Los valores del primer mes son simulados. Salen del embudo proyectado en la Estrategia de canales del Sprint 2 y de los supuestos de la sección 4. La cuenta @woodbird.ar se activó el 27/10: cuando junte una semana completa de estadísticas (Sprint 4), los valores simulados se reemplazan por los datos reales y se comparan contra estas metas.</w:t>
      </w:r>
    </w:p>
    <w:p>
      <w:pPr>
        <w:pStyle w:val="Heading1"/>
      </w:pPr>
      <w:r>
        <w:t>2. Panel</w:t>
      </w:r>
    </w:p>
    <w:p>
      <w:r>
        <w:drawing>
          <wp:inline xmlns:a="http://schemas.openxmlformats.org/drawingml/2006/main" xmlns:pic="http://schemas.openxmlformats.org/drawingml/2006/picture">
            <wp:extent cx="5943600" cy="4643438"/>
            <wp:docPr id="1" name="Picture 1"/>
            <wp:cNvGraphicFramePr>
              <a:graphicFrameLocks noChangeAspect="1"/>
            </wp:cNvGraphicFramePr>
            <a:graphic>
              <a:graphicData uri="http://schemas.openxmlformats.org/drawingml/2006/picture">
                <pic:pic>
                  <pic:nvPicPr>
                    <pic:cNvPr id="0" name="06_Panel_de_KPIs.png"/>
                    <pic:cNvPicPr/>
                  </pic:nvPicPr>
                  <pic:blipFill>
                    <a:blip r:embed="rId9"/>
                    <a:stretch>
                      <a:fillRect/>
                    </a:stretch>
                  </pic:blipFill>
                  <pic:spPr>
                    <a:xfrm>
                      <a:off x="0" y="0"/>
                      <a:ext cx="5943600" cy="4643438"/>
                    </a:xfrm>
                    <a:prstGeom prst="rect"/>
                  </pic:spPr>
                </pic:pic>
              </a:graphicData>
            </a:graphic>
          </wp:inline>
        </w:drawing>
      </w:r>
    </w:p>
    <w:p>
      <w:r>
        <w:t>Figura 1. Panel del mes 1. Los datos de los gráficos figuran en la sección 5 como tabla.</w:t>
      </w:r>
    </w:p>
    <w:p>
      <w:pPr>
        <w:pStyle w:val="Heading1"/>
      </w:pPr>
      <w:r>
        <w:t>3. Indicadores</w:t>
      </w:r>
    </w:p>
    <w:tbl>
      <w:tblPr>
        <w:tblStyle w:val="TableGrid"/>
        <w:tblW w:type="auto" w:w="0"/>
        <w:tblLayout w:type="fixed"/>
        <w:tblLook w:firstColumn="1" w:firstRow="1" w:lastColumn="0" w:lastRow="0" w:noHBand="0" w:noVBand="1" w:val="04A0"/>
      </w:tblPr>
      <w:tblGrid>
        <w:gridCol w:w="1296"/>
        <w:gridCol w:w="1728"/>
        <w:gridCol w:w="1584"/>
        <w:gridCol w:w="864"/>
        <w:gridCol w:w="1584"/>
        <w:gridCol w:w="1008"/>
        <w:gridCol w:w="864"/>
      </w:tblGrid>
      <w:tr>
        <w:tc>
          <w:tcPr>
            <w:tcW w:type="dxa" w:w="1296"/>
            <w:shd w:val="clear" w:color="auto" w:fill="2F4B3C"/>
          </w:tcPr>
          <w:p>
            <w:pPr>
              <w:spacing w:after="0"/>
            </w:pPr>
            <w:r>
              <w:rPr>
                <w:b/>
                <w:color w:val="FFFFFF"/>
                <w:sz w:val="18"/>
              </w:rPr>
              <w:t>KPI</w:t>
            </w:r>
          </w:p>
        </w:tc>
        <w:tc>
          <w:tcPr>
            <w:tcW w:type="dxa" w:w="1728"/>
            <w:shd w:val="clear" w:color="auto" w:fill="2F4B3C"/>
          </w:tcPr>
          <w:p>
            <w:pPr>
              <w:spacing w:after="0"/>
            </w:pPr>
            <w:r>
              <w:rPr>
                <w:b/>
                <w:color w:val="FFFFFF"/>
                <w:sz w:val="18"/>
              </w:rPr>
              <w:t>Fórmula</w:t>
            </w:r>
          </w:p>
        </w:tc>
        <w:tc>
          <w:tcPr>
            <w:tcW w:type="dxa" w:w="1584"/>
            <w:shd w:val="clear" w:color="auto" w:fill="2F4B3C"/>
          </w:tcPr>
          <w:p>
            <w:pPr>
              <w:spacing w:after="0"/>
            </w:pPr>
            <w:r>
              <w:rPr>
                <w:b/>
                <w:color w:val="FFFFFF"/>
                <w:sz w:val="18"/>
              </w:rPr>
              <w:t>Fuente</w:t>
            </w:r>
          </w:p>
        </w:tc>
        <w:tc>
          <w:tcPr>
            <w:tcW w:type="dxa" w:w="864"/>
            <w:shd w:val="clear" w:color="auto" w:fill="2F4B3C"/>
          </w:tcPr>
          <w:p>
            <w:pPr>
              <w:spacing w:after="0"/>
            </w:pPr>
            <w:r>
              <w:rPr>
                <w:b/>
                <w:color w:val="FFFFFF"/>
                <w:sz w:val="18"/>
              </w:rPr>
              <w:t>Frecuencia</w:t>
            </w:r>
          </w:p>
        </w:tc>
        <w:tc>
          <w:tcPr>
            <w:tcW w:type="dxa" w:w="1584"/>
            <w:shd w:val="clear" w:color="auto" w:fill="2F4B3C"/>
          </w:tcPr>
          <w:p>
            <w:pPr>
              <w:spacing w:after="0"/>
            </w:pPr>
            <w:r>
              <w:rPr>
                <w:b/>
                <w:color w:val="FFFFFF"/>
                <w:sz w:val="18"/>
              </w:rPr>
              <w:t>Meta y umbrales</w:t>
            </w:r>
          </w:p>
        </w:tc>
        <w:tc>
          <w:tcPr>
            <w:tcW w:type="dxa" w:w="1008"/>
            <w:shd w:val="clear" w:color="auto" w:fill="2F4B3C"/>
          </w:tcPr>
          <w:p>
            <w:pPr>
              <w:spacing w:after="0"/>
            </w:pPr>
            <w:r>
              <w:rPr>
                <w:b/>
                <w:color w:val="FFFFFF"/>
                <w:sz w:val="18"/>
              </w:rPr>
              <w:t>Mes 1 (simulado)</w:t>
            </w:r>
          </w:p>
        </w:tc>
        <w:tc>
          <w:tcPr>
            <w:tcW w:type="dxa" w:w="864"/>
            <w:shd w:val="clear" w:color="auto" w:fill="2F4B3C"/>
          </w:tcPr>
          <w:p>
            <w:pPr>
              <w:spacing w:after="0"/>
            </w:pPr>
            <w:r>
              <w:rPr>
                <w:b/>
                <w:color w:val="FFFFFF"/>
                <w:sz w:val="18"/>
              </w:rPr>
              <w:t>Estado</w:t>
            </w:r>
          </w:p>
        </w:tc>
      </w:tr>
      <w:tr>
        <w:tc>
          <w:tcPr>
            <w:tcW w:type="dxa" w:w="1296"/>
          </w:tcPr>
          <w:p>
            <w:pPr>
              <w:spacing w:after="0"/>
            </w:pPr>
            <w:r>
              <w:rPr>
                <w:b/>
                <w:sz w:val="18"/>
              </w:rPr>
              <w:t>CTR (tasa de clics)</w:t>
            </w:r>
          </w:p>
        </w:tc>
        <w:tc>
          <w:tcPr>
            <w:tcW w:type="dxa" w:w="1728"/>
          </w:tcPr>
          <w:p>
            <w:pPr>
              <w:spacing w:after="0"/>
            </w:pPr>
            <w:r>
              <w:rPr>
                <w:b w:val="0"/>
                <w:sz w:val="18"/>
              </w:rPr>
              <w:t>Clics al sitio ÷ cuentas alcanzadas × 100</w:t>
            </w:r>
          </w:p>
        </w:tc>
        <w:tc>
          <w:tcPr>
            <w:tcW w:type="dxa" w:w="1584"/>
          </w:tcPr>
          <w:p>
            <w:pPr>
              <w:spacing w:after="0"/>
            </w:pPr>
            <w:r>
              <w:rPr>
                <w:b w:val="0"/>
                <w:sz w:val="18"/>
              </w:rPr>
              <w:t>Estadísticas de Instagram (toques en el enlace) y UTM</w:t>
            </w:r>
          </w:p>
        </w:tc>
        <w:tc>
          <w:tcPr>
            <w:tcW w:type="dxa" w:w="864"/>
          </w:tcPr>
          <w:p>
            <w:pPr>
              <w:spacing w:after="0"/>
            </w:pPr>
            <w:r>
              <w:rPr>
                <w:b w:val="0"/>
                <w:sz w:val="18"/>
              </w:rPr>
              <w:t>Semanal</w:t>
            </w:r>
          </w:p>
        </w:tc>
        <w:tc>
          <w:tcPr>
            <w:tcW w:type="dxa" w:w="1584"/>
          </w:tcPr>
          <w:p>
            <w:pPr>
              <w:spacing w:after="0"/>
            </w:pPr>
            <w:r>
              <w:rPr>
                <w:b w:val="0"/>
                <w:sz w:val="18"/>
              </w:rPr>
              <w:t>≥ 1,8 % · alerta 1,0–1,8 % · &lt; 1,0 %</w:t>
            </w:r>
          </w:p>
        </w:tc>
        <w:tc>
          <w:tcPr>
            <w:tcW w:type="dxa" w:w="1008"/>
          </w:tcPr>
          <w:p>
            <w:pPr>
              <w:spacing w:after="0"/>
            </w:pPr>
            <w:r>
              <w:rPr>
                <w:b w:val="0"/>
                <w:sz w:val="18"/>
              </w:rPr>
              <w:t>1,8 %</w:t>
            </w:r>
          </w:p>
        </w:tc>
        <w:tc>
          <w:tcPr>
            <w:tcW w:type="dxa" w:w="864"/>
            <w:shd w:val="clear" w:color="auto" w:fill="D9EAD3"/>
          </w:tcPr>
          <w:p>
            <w:pPr>
              <w:spacing w:after="0"/>
            </w:pPr>
            <w:r>
              <w:rPr>
                <w:b w:val="0"/>
                <w:sz w:val="18"/>
              </w:rPr>
              <w:t>✓ Cumple</w:t>
            </w:r>
          </w:p>
        </w:tc>
      </w:tr>
      <w:tr>
        <w:tc>
          <w:tcPr>
            <w:tcW w:type="dxa" w:w="1296"/>
          </w:tcPr>
          <w:p>
            <w:pPr>
              <w:spacing w:after="0"/>
            </w:pPr>
            <w:r>
              <w:rPr>
                <w:b/>
                <w:sz w:val="18"/>
              </w:rPr>
              <w:t>Tasa de conversión simulada</w:t>
            </w:r>
          </w:p>
        </w:tc>
        <w:tc>
          <w:tcPr>
            <w:tcW w:type="dxa" w:w="1728"/>
          </w:tcPr>
          <w:p>
            <w:pPr>
              <w:spacing w:after="0"/>
            </w:pPr>
            <w:r>
              <w:rPr>
                <w:b w:val="0"/>
                <w:sz w:val="18"/>
              </w:rPr>
              <w:t>Compras simuladas ÷ clics al sitio × 100</w:t>
            </w:r>
          </w:p>
        </w:tc>
        <w:tc>
          <w:tcPr>
            <w:tcW w:type="dxa" w:w="1584"/>
          </w:tcPr>
          <w:p>
            <w:pPr>
              <w:spacing w:after="0"/>
            </w:pPr>
            <w:r>
              <w:rPr>
                <w:b w:val="0"/>
                <w:sz w:val="18"/>
              </w:rPr>
              <w:t>Pruebas de usuario que entran por el enlace con UTM</w:t>
            </w:r>
          </w:p>
        </w:tc>
        <w:tc>
          <w:tcPr>
            <w:tcW w:type="dxa" w:w="864"/>
          </w:tcPr>
          <w:p>
            <w:pPr>
              <w:spacing w:after="0"/>
            </w:pPr>
            <w:r>
              <w:rPr>
                <w:b w:val="0"/>
                <w:sz w:val="18"/>
              </w:rPr>
              <w:t>Mensual</w:t>
            </w:r>
          </w:p>
        </w:tc>
        <w:tc>
          <w:tcPr>
            <w:tcW w:type="dxa" w:w="1584"/>
          </w:tcPr>
          <w:p>
            <w:pPr>
              <w:spacing w:after="0"/>
            </w:pPr>
            <w:r>
              <w:rPr>
                <w:b w:val="0"/>
                <w:sz w:val="18"/>
              </w:rPr>
              <w:t>≥ 2,8 % · alerta 1,5–2,8 % · &lt; 1,5 %</w:t>
            </w:r>
          </w:p>
        </w:tc>
        <w:tc>
          <w:tcPr>
            <w:tcW w:type="dxa" w:w="1008"/>
          </w:tcPr>
          <w:p>
            <w:pPr>
              <w:spacing w:after="0"/>
            </w:pPr>
            <w:r>
              <w:rPr>
                <w:b w:val="0"/>
                <w:sz w:val="18"/>
              </w:rPr>
              <w:t>2,8 %</w:t>
            </w:r>
          </w:p>
        </w:tc>
        <w:tc>
          <w:tcPr>
            <w:tcW w:type="dxa" w:w="864"/>
            <w:shd w:val="clear" w:color="auto" w:fill="D9EAD3"/>
          </w:tcPr>
          <w:p>
            <w:pPr>
              <w:spacing w:after="0"/>
            </w:pPr>
            <w:r>
              <w:rPr>
                <w:b w:val="0"/>
                <w:sz w:val="18"/>
              </w:rPr>
              <w:t>✓ Cumple</w:t>
            </w:r>
          </w:p>
        </w:tc>
      </w:tr>
      <w:tr>
        <w:tc>
          <w:tcPr>
            <w:tcW w:type="dxa" w:w="1296"/>
          </w:tcPr>
          <w:p>
            <w:pPr>
              <w:spacing w:after="0"/>
            </w:pPr>
            <w:r>
              <w:rPr>
                <w:b/>
                <w:sz w:val="18"/>
              </w:rPr>
              <w:t>CAC teórico</w:t>
            </w:r>
          </w:p>
        </w:tc>
        <w:tc>
          <w:tcPr>
            <w:tcW w:type="dxa" w:w="1728"/>
          </w:tcPr>
          <w:p>
            <w:pPr>
              <w:spacing w:after="0"/>
            </w:pPr>
            <w:r>
              <w:rPr>
                <w:b w:val="0"/>
                <w:sz w:val="18"/>
              </w:rPr>
              <w:t>(Horas × valor hora + pauta + herramientas) ÷ clientes nuevos</w:t>
            </w:r>
          </w:p>
        </w:tc>
        <w:tc>
          <w:tcPr>
            <w:tcW w:type="dxa" w:w="1584"/>
          </w:tcPr>
          <w:p>
            <w:pPr>
              <w:spacing w:after="0"/>
            </w:pPr>
            <w:r>
              <w:rPr>
                <w:b w:val="0"/>
                <w:sz w:val="18"/>
              </w:rPr>
              <w:t>Registro de horas del equipo y supuestos declarados</w:t>
            </w:r>
          </w:p>
        </w:tc>
        <w:tc>
          <w:tcPr>
            <w:tcW w:type="dxa" w:w="864"/>
          </w:tcPr>
          <w:p>
            <w:pPr>
              <w:spacing w:after="0"/>
            </w:pPr>
            <w:r>
              <w:rPr>
                <w:b w:val="0"/>
                <w:sz w:val="18"/>
              </w:rPr>
              <w:t>Mensual</w:t>
            </w:r>
          </w:p>
        </w:tc>
        <w:tc>
          <w:tcPr>
            <w:tcW w:type="dxa" w:w="1584"/>
          </w:tcPr>
          <w:p>
            <w:pPr>
              <w:spacing w:after="0"/>
            </w:pPr>
            <w:r>
              <w:rPr>
                <w:b w:val="0"/>
                <w:sz w:val="18"/>
              </w:rPr>
              <w:t>≤ $9.200 (30 % del ticket) · alerta hasta $15.000 · más</w:t>
            </w:r>
          </w:p>
        </w:tc>
        <w:tc>
          <w:tcPr>
            <w:tcW w:type="dxa" w:w="1008"/>
          </w:tcPr>
          <w:p>
            <w:pPr>
              <w:spacing w:after="0"/>
            </w:pPr>
            <w:r>
              <w:rPr>
                <w:b w:val="0"/>
                <w:sz w:val="18"/>
              </w:rPr>
              <w:t>$14.000</w:t>
            </w:r>
          </w:p>
        </w:tc>
        <w:tc>
          <w:tcPr>
            <w:tcW w:type="dxa" w:w="864"/>
            <w:shd w:val="clear" w:color="auto" w:fill="FCE8B2"/>
          </w:tcPr>
          <w:p>
            <w:pPr>
              <w:spacing w:after="0"/>
            </w:pPr>
            <w:r>
              <w:rPr>
                <w:b w:val="0"/>
                <w:sz w:val="18"/>
              </w:rPr>
              <w:t>! Alerta</w:t>
            </w:r>
          </w:p>
        </w:tc>
      </w:tr>
      <w:tr>
        <w:tc>
          <w:tcPr>
            <w:tcW w:type="dxa" w:w="1296"/>
          </w:tcPr>
          <w:p>
            <w:pPr>
              <w:spacing w:after="0"/>
            </w:pPr>
            <w:r>
              <w:rPr>
                <w:b/>
                <w:sz w:val="18"/>
              </w:rPr>
              <w:t>Tasa de interacción</w:t>
            </w:r>
          </w:p>
        </w:tc>
        <w:tc>
          <w:tcPr>
            <w:tcW w:type="dxa" w:w="1728"/>
          </w:tcPr>
          <w:p>
            <w:pPr>
              <w:spacing w:after="0"/>
            </w:pPr>
            <w:r>
              <w:rPr>
                <w:b w:val="0"/>
                <w:sz w:val="18"/>
              </w:rPr>
              <w:t>Interacciones ÷ cuentas alcanzadas × 100</w:t>
            </w:r>
          </w:p>
        </w:tc>
        <w:tc>
          <w:tcPr>
            <w:tcW w:type="dxa" w:w="1584"/>
          </w:tcPr>
          <w:p>
            <w:pPr>
              <w:spacing w:after="0"/>
            </w:pPr>
            <w:r>
              <w:rPr>
                <w:b w:val="0"/>
                <w:sz w:val="18"/>
              </w:rPr>
              <w:t>Estadísticas de Instagram</w:t>
            </w:r>
          </w:p>
        </w:tc>
        <w:tc>
          <w:tcPr>
            <w:tcW w:type="dxa" w:w="864"/>
          </w:tcPr>
          <w:p>
            <w:pPr>
              <w:spacing w:after="0"/>
            </w:pPr>
            <w:r>
              <w:rPr>
                <w:b w:val="0"/>
                <w:sz w:val="18"/>
              </w:rPr>
              <w:t>Semanal</w:t>
            </w:r>
          </w:p>
        </w:tc>
        <w:tc>
          <w:tcPr>
            <w:tcW w:type="dxa" w:w="1584"/>
          </w:tcPr>
          <w:p>
            <w:pPr>
              <w:spacing w:after="0"/>
            </w:pPr>
            <w:r>
              <w:rPr>
                <w:b w:val="0"/>
                <w:sz w:val="18"/>
              </w:rPr>
              <w:t>≥ 4 % · alerta 2–4 % · &lt; 2 %</w:t>
            </w:r>
          </w:p>
        </w:tc>
        <w:tc>
          <w:tcPr>
            <w:tcW w:type="dxa" w:w="1008"/>
          </w:tcPr>
          <w:p>
            <w:pPr>
              <w:spacing w:after="0"/>
            </w:pPr>
            <w:r>
              <w:rPr>
                <w:b w:val="0"/>
                <w:sz w:val="18"/>
              </w:rPr>
              <w:t>4,0 %</w:t>
            </w:r>
          </w:p>
        </w:tc>
        <w:tc>
          <w:tcPr>
            <w:tcW w:type="dxa" w:w="864"/>
            <w:shd w:val="clear" w:color="auto" w:fill="D9EAD3"/>
          </w:tcPr>
          <w:p>
            <w:pPr>
              <w:spacing w:after="0"/>
            </w:pPr>
            <w:r>
              <w:rPr>
                <w:b w:val="0"/>
                <w:sz w:val="18"/>
              </w:rPr>
              <w:t>✓ Cumple</w:t>
            </w:r>
          </w:p>
        </w:tc>
      </w:tr>
      <w:tr>
        <w:tc>
          <w:tcPr>
            <w:tcW w:type="dxa" w:w="1296"/>
          </w:tcPr>
          <w:p>
            <w:pPr>
              <w:spacing w:after="0"/>
            </w:pPr>
            <w:r>
              <w:rPr>
                <w:b/>
                <w:sz w:val="18"/>
              </w:rPr>
              <w:t>Abandono de carrito</w:t>
            </w:r>
          </w:p>
        </w:tc>
        <w:tc>
          <w:tcPr>
            <w:tcW w:type="dxa" w:w="1728"/>
          </w:tcPr>
          <w:p>
            <w:pPr>
              <w:spacing w:after="0"/>
            </w:pPr>
            <w:r>
              <w:rPr>
                <w:b w:val="0"/>
                <w:sz w:val="18"/>
              </w:rPr>
              <w:t>1 − compras ÷ sesiones que agregan al carrito</w:t>
            </w:r>
          </w:p>
        </w:tc>
        <w:tc>
          <w:tcPr>
            <w:tcW w:type="dxa" w:w="1584"/>
          </w:tcPr>
          <w:p>
            <w:pPr>
              <w:spacing w:after="0"/>
            </w:pPr>
            <w:r>
              <w:rPr>
                <w:b w:val="0"/>
                <w:sz w:val="18"/>
              </w:rPr>
              <w:t>Pruebas de usuario</w:t>
            </w:r>
          </w:p>
        </w:tc>
        <w:tc>
          <w:tcPr>
            <w:tcW w:type="dxa" w:w="864"/>
          </w:tcPr>
          <w:p>
            <w:pPr>
              <w:spacing w:after="0"/>
            </w:pPr>
            <w:r>
              <w:rPr>
                <w:b w:val="0"/>
                <w:sz w:val="18"/>
              </w:rPr>
              <w:t>Mensual</w:t>
            </w:r>
          </w:p>
        </w:tc>
        <w:tc>
          <w:tcPr>
            <w:tcW w:type="dxa" w:w="1584"/>
          </w:tcPr>
          <w:p>
            <w:pPr>
              <w:spacing w:after="0"/>
            </w:pPr>
            <w:r>
              <w:rPr>
                <w:b w:val="0"/>
                <w:sz w:val="18"/>
              </w:rPr>
              <w:t>≤ 70 % · alerta 70–80 % · más de 80 %</w:t>
            </w:r>
          </w:p>
        </w:tc>
        <w:tc>
          <w:tcPr>
            <w:tcW w:type="dxa" w:w="1008"/>
          </w:tcPr>
          <w:p>
            <w:pPr>
              <w:spacing w:after="0"/>
            </w:pPr>
            <w:r>
              <w:rPr>
                <w:b w:val="0"/>
                <w:sz w:val="18"/>
              </w:rPr>
              <w:t>77 %</w:t>
            </w:r>
          </w:p>
        </w:tc>
        <w:tc>
          <w:tcPr>
            <w:tcW w:type="dxa" w:w="864"/>
            <w:shd w:val="clear" w:color="auto" w:fill="FCE8B2"/>
          </w:tcPr>
          <w:p>
            <w:pPr>
              <w:spacing w:after="0"/>
            </w:pPr>
            <w:r>
              <w:rPr>
                <w:b w:val="0"/>
                <w:sz w:val="18"/>
              </w:rPr>
              <w:t>! Alerta</w:t>
            </w:r>
          </w:p>
        </w:tc>
      </w:tr>
      <w:tr>
        <w:tc>
          <w:tcPr>
            <w:tcW w:type="dxa" w:w="1296"/>
          </w:tcPr>
          <w:p>
            <w:pPr>
              <w:spacing w:after="0"/>
            </w:pPr>
            <w:r>
              <w:rPr>
                <w:b/>
                <w:sz w:val="18"/>
              </w:rPr>
              <w:t>Ticket promedio</w:t>
            </w:r>
          </w:p>
        </w:tc>
        <w:tc>
          <w:tcPr>
            <w:tcW w:type="dxa" w:w="1728"/>
          </w:tcPr>
          <w:p>
            <w:pPr>
              <w:spacing w:after="0"/>
            </w:pPr>
            <w:r>
              <w:rPr>
                <w:b w:val="0"/>
                <w:sz w:val="18"/>
              </w:rPr>
              <w:t>Precio medio de las piezas con stock + envío</w:t>
            </w:r>
          </w:p>
        </w:tc>
        <w:tc>
          <w:tcPr>
            <w:tcW w:type="dxa" w:w="1584"/>
          </w:tcPr>
          <w:p>
            <w:pPr>
              <w:spacing w:after="0"/>
            </w:pPr>
            <w:r>
              <w:rPr>
                <w:b w:val="0"/>
                <w:sz w:val="18"/>
              </w:rPr>
              <w:t>productos.json</w:t>
            </w:r>
          </w:p>
        </w:tc>
        <w:tc>
          <w:tcPr>
            <w:tcW w:type="dxa" w:w="864"/>
          </w:tcPr>
          <w:p>
            <w:pPr>
              <w:spacing w:after="0"/>
            </w:pPr>
            <w:r>
              <w:rPr>
                <w:b w:val="0"/>
                <w:sz w:val="18"/>
              </w:rPr>
              <w:t>Al cambiar precios</w:t>
            </w:r>
          </w:p>
        </w:tc>
        <w:tc>
          <w:tcPr>
            <w:tcW w:type="dxa" w:w="1584"/>
          </w:tcPr>
          <w:p>
            <w:pPr>
              <w:spacing w:after="0"/>
            </w:pPr>
            <w:r>
              <w:rPr>
                <w:b w:val="0"/>
                <w:sz w:val="18"/>
              </w:rPr>
              <w:t>Referencia para el CAC</w:t>
            </w:r>
          </w:p>
        </w:tc>
        <w:tc>
          <w:tcPr>
            <w:tcW w:type="dxa" w:w="1008"/>
          </w:tcPr>
          <w:p>
            <w:pPr>
              <w:spacing w:after="0"/>
            </w:pPr>
            <w:r>
              <w:rPr>
                <w:b w:val="0"/>
                <w:sz w:val="18"/>
              </w:rPr>
              <w:t>$30.600</w:t>
            </w:r>
          </w:p>
        </w:tc>
        <w:tc>
          <w:tcPr>
            <w:tcW w:type="dxa" w:w="864"/>
          </w:tcPr>
          <w:p>
            <w:pPr>
              <w:spacing w:after="0"/>
            </w:pPr>
            <w:r>
              <w:rPr>
                <w:b w:val="0"/>
                <w:sz w:val="18"/>
              </w:rPr>
              <w:t>—</w:t>
            </w:r>
          </w:p>
        </w:tc>
      </w:tr>
    </w:tbl>
    <w:p/>
    <w:p>
      <w:pPr>
        <w:pStyle w:val="Heading1"/>
      </w:pPr>
      <w:r>
        <w:t>4. CAC teórico: supuestos y cálculo</w:t>
      </w:r>
    </w:p>
    <w:tbl>
      <w:tblPr>
        <w:tblStyle w:val="TableGrid"/>
        <w:tblW w:type="auto" w:w="0"/>
        <w:tblLayout w:type="fixed"/>
        <w:tblLook w:firstColumn="1" w:firstRow="1" w:lastColumn="0" w:lastRow="0" w:noHBand="0" w:noVBand="1" w:val="04A0"/>
      </w:tblPr>
      <w:tblGrid>
        <w:gridCol w:w="2304"/>
        <w:gridCol w:w="5184"/>
        <w:gridCol w:w="1872"/>
      </w:tblGrid>
      <w:tr>
        <w:tc>
          <w:tcPr>
            <w:tcW w:type="dxa" w:w="2304"/>
            <w:shd w:val="clear" w:color="auto" w:fill="2F4B3C"/>
          </w:tcPr>
          <w:p>
            <w:pPr>
              <w:spacing w:after="0"/>
            </w:pPr>
            <w:r>
              <w:rPr>
                <w:b/>
                <w:color w:val="FFFFFF"/>
                <w:sz w:val="18"/>
              </w:rPr>
              <w:t>Concepto</w:t>
            </w:r>
          </w:p>
        </w:tc>
        <w:tc>
          <w:tcPr>
            <w:tcW w:type="dxa" w:w="5184"/>
            <w:shd w:val="clear" w:color="auto" w:fill="2F4B3C"/>
          </w:tcPr>
          <w:p>
            <w:pPr>
              <w:spacing w:after="0"/>
            </w:pPr>
            <w:r>
              <w:rPr>
                <w:b/>
                <w:color w:val="FFFFFF"/>
                <w:sz w:val="18"/>
              </w:rPr>
              <w:t>Supuesto</w:t>
            </w:r>
          </w:p>
        </w:tc>
        <w:tc>
          <w:tcPr>
            <w:tcW w:type="dxa" w:w="1872"/>
            <w:shd w:val="clear" w:color="auto" w:fill="2F4B3C"/>
          </w:tcPr>
          <w:p>
            <w:pPr>
              <w:spacing w:after="0"/>
            </w:pPr>
            <w:r>
              <w:rPr>
                <w:b/>
                <w:color w:val="FFFFFF"/>
                <w:sz w:val="18"/>
              </w:rPr>
              <w:t>Importe</w:t>
            </w:r>
          </w:p>
        </w:tc>
      </w:tr>
      <w:tr>
        <w:tc>
          <w:tcPr>
            <w:tcW w:type="dxa" w:w="2304"/>
          </w:tcPr>
          <w:p>
            <w:pPr>
              <w:spacing w:after="0"/>
            </w:pPr>
            <w:r>
              <w:rPr>
                <w:b/>
                <w:sz w:val="18"/>
              </w:rPr>
              <w:t>Producción de contenido</w:t>
            </w:r>
          </w:p>
        </w:tc>
        <w:tc>
          <w:tcPr>
            <w:tcW w:type="dxa" w:w="5184"/>
          </w:tcPr>
          <w:p>
            <w:pPr>
              <w:spacing w:after="0"/>
            </w:pPr>
            <w:r>
              <w:rPr>
                <w:b w:val="0"/>
                <w:sz w:val="18"/>
              </w:rPr>
              <w:t>12 piezas en el mes, ≈ 1 h cada una, a $3.500 la hora (referencia de un perfil junior)</w:t>
            </w:r>
          </w:p>
        </w:tc>
        <w:tc>
          <w:tcPr>
            <w:tcW w:type="dxa" w:w="1872"/>
          </w:tcPr>
          <w:p>
            <w:pPr>
              <w:spacing w:after="0"/>
            </w:pPr>
            <w:r>
              <w:rPr>
                <w:b w:val="0"/>
                <w:sz w:val="18"/>
              </w:rPr>
              <w:t>$42.000</w:t>
            </w:r>
          </w:p>
        </w:tc>
      </w:tr>
      <w:tr>
        <w:tc>
          <w:tcPr>
            <w:tcW w:type="dxa" w:w="2304"/>
          </w:tcPr>
          <w:p>
            <w:pPr>
              <w:spacing w:after="0"/>
            </w:pPr>
            <w:r>
              <w:rPr>
                <w:b/>
                <w:sz w:val="18"/>
              </w:rPr>
              <w:t>Publicidad paga</w:t>
            </w:r>
          </w:p>
        </w:tc>
        <w:tc>
          <w:tcPr>
            <w:tcW w:type="dxa" w:w="5184"/>
          </w:tcPr>
          <w:p>
            <w:pPr>
              <w:spacing w:after="0"/>
            </w:pPr>
            <w:r>
              <w:rPr>
                <w:b w:val="0"/>
                <w:sz w:val="18"/>
              </w:rPr>
              <w:t>Campaña orgánica: la consigna pide tráfico orgánico</w:t>
            </w:r>
          </w:p>
        </w:tc>
        <w:tc>
          <w:tcPr>
            <w:tcW w:type="dxa" w:w="1872"/>
          </w:tcPr>
          <w:p>
            <w:pPr>
              <w:spacing w:after="0"/>
            </w:pPr>
            <w:r>
              <w:rPr>
                <w:b w:val="0"/>
                <w:sz w:val="18"/>
              </w:rPr>
              <w:t>$0</w:t>
            </w:r>
          </w:p>
        </w:tc>
      </w:tr>
      <w:tr>
        <w:tc>
          <w:tcPr>
            <w:tcW w:type="dxa" w:w="2304"/>
          </w:tcPr>
          <w:p>
            <w:pPr>
              <w:spacing w:after="0"/>
            </w:pPr>
            <w:r>
              <w:rPr>
                <w:b/>
                <w:sz w:val="18"/>
              </w:rPr>
              <w:t>Herramientas</w:t>
            </w:r>
          </w:p>
        </w:tc>
        <w:tc>
          <w:tcPr>
            <w:tcW w:type="dxa" w:w="5184"/>
          </w:tcPr>
          <w:p>
            <w:pPr>
              <w:spacing w:after="0"/>
            </w:pPr>
            <w:r>
              <w:rPr>
                <w:b w:val="0"/>
                <w:sz w:val="18"/>
              </w:rPr>
              <w:t>Las piezas se generan con un script propio y Chrome, sin licencias</w:t>
            </w:r>
          </w:p>
        </w:tc>
        <w:tc>
          <w:tcPr>
            <w:tcW w:type="dxa" w:w="1872"/>
          </w:tcPr>
          <w:p>
            <w:pPr>
              <w:spacing w:after="0"/>
            </w:pPr>
            <w:r>
              <w:rPr>
                <w:b w:val="0"/>
                <w:sz w:val="18"/>
              </w:rPr>
              <w:t>$0</w:t>
            </w:r>
          </w:p>
        </w:tc>
      </w:tr>
      <w:tr>
        <w:tc>
          <w:tcPr>
            <w:tcW w:type="dxa" w:w="2304"/>
          </w:tcPr>
          <w:p>
            <w:pPr>
              <w:spacing w:after="0"/>
            </w:pPr>
            <w:r>
              <w:rPr>
                <w:b/>
                <w:sz w:val="18"/>
              </w:rPr>
              <w:t>Costo total de adquisición</w:t>
            </w:r>
          </w:p>
        </w:tc>
        <w:tc>
          <w:tcPr>
            <w:tcW w:type="dxa" w:w="5184"/>
          </w:tcPr>
          <w:p>
            <w:pPr>
              <w:spacing w:after="0"/>
            </w:pPr>
            <w:r>
              <w:rPr>
                <w:b w:val="0"/>
                <w:sz w:val="18"/>
              </w:rPr>
            </w:r>
          </w:p>
        </w:tc>
        <w:tc>
          <w:tcPr>
            <w:tcW w:type="dxa" w:w="1872"/>
          </w:tcPr>
          <w:p>
            <w:pPr>
              <w:spacing w:after="0"/>
            </w:pPr>
            <w:r>
              <w:rPr>
                <w:b w:val="0"/>
                <w:sz w:val="18"/>
              </w:rPr>
              <w:t>$42.000</w:t>
            </w:r>
          </w:p>
        </w:tc>
      </w:tr>
      <w:tr>
        <w:tc>
          <w:tcPr>
            <w:tcW w:type="dxa" w:w="2304"/>
          </w:tcPr>
          <w:p>
            <w:pPr>
              <w:spacing w:after="0"/>
            </w:pPr>
            <w:r>
              <w:rPr>
                <w:b/>
                <w:sz w:val="18"/>
              </w:rPr>
              <w:t>Clientes nuevos</w:t>
            </w:r>
          </w:p>
        </w:tc>
        <w:tc>
          <w:tcPr>
            <w:tcW w:type="dxa" w:w="5184"/>
          </w:tcPr>
          <w:p>
            <w:pPr>
              <w:spacing w:after="0"/>
            </w:pPr>
            <w:r>
              <w:rPr>
                <w:b w:val="0"/>
                <w:sz w:val="18"/>
              </w:rPr>
              <w:t>Compras simuladas del mes (embudo del Sprint 2)</w:t>
            </w:r>
          </w:p>
        </w:tc>
        <w:tc>
          <w:tcPr>
            <w:tcW w:type="dxa" w:w="1872"/>
          </w:tcPr>
          <w:p>
            <w:pPr>
              <w:spacing w:after="0"/>
            </w:pPr>
            <w:r>
              <w:rPr>
                <w:b w:val="0"/>
                <w:sz w:val="18"/>
              </w:rPr>
              <w:t>3</w:t>
            </w:r>
          </w:p>
        </w:tc>
      </w:tr>
      <w:tr>
        <w:tc>
          <w:tcPr>
            <w:tcW w:type="dxa" w:w="2304"/>
          </w:tcPr>
          <w:p>
            <w:pPr>
              <w:spacing w:after="0"/>
            </w:pPr>
            <w:r>
              <w:rPr>
                <w:b/>
                <w:sz w:val="18"/>
              </w:rPr>
              <w:t>CAC teórico</w:t>
            </w:r>
          </w:p>
        </w:tc>
        <w:tc>
          <w:tcPr>
            <w:tcW w:type="dxa" w:w="5184"/>
          </w:tcPr>
          <w:p>
            <w:pPr>
              <w:spacing w:after="0"/>
            </w:pPr>
            <w:r>
              <w:rPr>
                <w:b w:val="0"/>
                <w:sz w:val="18"/>
              </w:rPr>
              <w:t>Costo total ÷ clientes nuevos</w:t>
            </w:r>
          </w:p>
        </w:tc>
        <w:tc>
          <w:tcPr>
            <w:tcW w:type="dxa" w:w="1872"/>
          </w:tcPr>
          <w:p>
            <w:pPr>
              <w:spacing w:after="0"/>
            </w:pPr>
            <w:r>
              <w:rPr>
                <w:b w:val="0"/>
                <w:sz w:val="18"/>
              </w:rPr>
              <w:t>$14.000</w:t>
            </w:r>
          </w:p>
        </w:tc>
      </w:tr>
      <w:tr>
        <w:tc>
          <w:tcPr>
            <w:tcW w:type="dxa" w:w="2304"/>
          </w:tcPr>
          <w:p>
            <w:pPr>
              <w:spacing w:after="0"/>
            </w:pPr>
            <w:r>
              <w:rPr>
                <w:b/>
                <w:sz w:val="18"/>
              </w:rPr>
              <w:t>Ticket promedio</w:t>
            </w:r>
          </w:p>
        </w:tc>
        <w:tc>
          <w:tcPr>
            <w:tcW w:type="dxa" w:w="5184"/>
          </w:tcPr>
          <w:p>
            <w:pPr>
              <w:spacing w:after="0"/>
            </w:pPr>
            <w:r>
              <w:rPr>
                <w:b w:val="0"/>
                <w:sz w:val="18"/>
              </w:rPr>
              <w:t>Precio medio de las 11 piezas con stock + envío de $5.900</w:t>
            </w:r>
          </w:p>
        </w:tc>
        <w:tc>
          <w:tcPr>
            <w:tcW w:type="dxa" w:w="1872"/>
          </w:tcPr>
          <w:p>
            <w:pPr>
              <w:spacing w:after="0"/>
            </w:pPr>
            <w:r>
              <w:rPr>
                <w:b w:val="0"/>
                <w:sz w:val="18"/>
              </w:rPr>
              <w:t>$30.600</w:t>
            </w:r>
          </w:p>
        </w:tc>
      </w:tr>
      <w:tr>
        <w:tc>
          <w:tcPr>
            <w:tcW w:type="dxa" w:w="2304"/>
          </w:tcPr>
          <w:p>
            <w:pPr>
              <w:spacing w:after="0"/>
            </w:pPr>
            <w:r>
              <w:rPr>
                <w:b/>
                <w:sz w:val="18"/>
              </w:rPr>
              <w:t>CAC ÷ ticket</w:t>
            </w:r>
          </w:p>
        </w:tc>
        <w:tc>
          <w:tcPr>
            <w:tcW w:type="dxa" w:w="5184"/>
          </w:tcPr>
          <w:p>
            <w:pPr>
              <w:spacing w:after="0"/>
            </w:pPr>
            <w:r>
              <w:rPr>
                <w:b w:val="0"/>
                <w:sz w:val="18"/>
              </w:rPr>
              <w:t>Proporción del ingreso que se va en conseguir al cliente</w:t>
            </w:r>
          </w:p>
        </w:tc>
        <w:tc>
          <w:tcPr>
            <w:tcW w:type="dxa" w:w="1872"/>
          </w:tcPr>
          <w:p>
            <w:pPr>
              <w:spacing w:after="0"/>
            </w:pPr>
            <w:r>
              <w:rPr>
                <w:b w:val="0"/>
                <w:sz w:val="18"/>
              </w:rPr>
              <w:t>46 %</w:t>
            </w:r>
          </w:p>
        </w:tc>
      </w:tr>
    </w:tbl>
    <w:p/>
    <w:p>
      <w:r>
        <w:t>Lectura. Con 3 clientes en el primer mes, cada cliente cuesta el 46 % del ticket: el CAC queda en alerta. La meta es bajarlo a $9.200 (30 % del ticket). Como el costo es casi todo de producción de contenido, que se reutiliza, el CAC baja al crecer el alcance sin producir más piezas. Con la misma inversión, se llega a la meta con 5 compras por mes.</w:t>
      </w:r>
    </w:p>
    <w:p>
      <w:pPr>
        <w:pStyle w:val="Heading1"/>
      </w:pPr>
      <w:r>
        <w:t>5. Datos de los gráficos</w:t>
      </w:r>
    </w:p>
    <w:tbl>
      <w:tblPr>
        <w:tblStyle w:val="TableGrid"/>
        <w:tblW w:type="auto" w:w="0"/>
        <w:tblLayout w:type="fixed"/>
        <w:tblLook w:firstColumn="1" w:firstRow="1" w:lastColumn="0" w:lastRow="0" w:noHBand="0" w:noVBand="1" w:val="04A0"/>
      </w:tblPr>
      <w:tblGrid>
        <w:gridCol w:w="3744"/>
        <w:gridCol w:w="2304"/>
        <w:gridCol w:w="3312"/>
      </w:tblGrid>
      <w:tr>
        <w:tc>
          <w:tcPr>
            <w:tcW w:type="dxa" w:w="3744"/>
            <w:shd w:val="clear" w:color="auto" w:fill="2F4B3C"/>
          </w:tcPr>
          <w:p>
            <w:pPr>
              <w:spacing w:after="0"/>
            </w:pPr>
            <w:r>
              <w:rPr>
                <w:b/>
                <w:color w:val="FFFFFF"/>
                <w:sz w:val="18"/>
              </w:rPr>
              <w:t>Etapa</w:t>
            </w:r>
          </w:p>
        </w:tc>
        <w:tc>
          <w:tcPr>
            <w:tcW w:type="dxa" w:w="2304"/>
            <w:shd w:val="clear" w:color="auto" w:fill="2F4B3C"/>
          </w:tcPr>
          <w:p>
            <w:pPr>
              <w:spacing w:after="0"/>
            </w:pPr>
            <w:r>
              <w:rPr>
                <w:b/>
                <w:color w:val="FFFFFF"/>
                <w:sz w:val="18"/>
              </w:rPr>
              <w:t>Volumen</w:t>
            </w:r>
          </w:p>
        </w:tc>
        <w:tc>
          <w:tcPr>
            <w:tcW w:type="dxa" w:w="3312"/>
            <w:shd w:val="clear" w:color="auto" w:fill="2F4B3C"/>
          </w:tcPr>
          <w:p>
            <w:pPr>
              <w:spacing w:after="0"/>
            </w:pPr>
            <w:r>
              <w:rPr>
                <w:b/>
                <w:color w:val="FFFFFF"/>
                <w:sz w:val="18"/>
              </w:rPr>
              <w:t>Pasa a la siguiente</w:t>
            </w:r>
          </w:p>
        </w:tc>
      </w:tr>
      <w:tr>
        <w:tc>
          <w:tcPr>
            <w:tcW w:type="dxa" w:w="3744"/>
          </w:tcPr>
          <w:p>
            <w:pPr>
              <w:spacing w:after="0"/>
            </w:pPr>
            <w:r>
              <w:rPr>
                <w:b/>
                <w:sz w:val="18"/>
              </w:rPr>
              <w:t>Cuentas alcanzadas</w:t>
            </w:r>
          </w:p>
        </w:tc>
        <w:tc>
          <w:tcPr>
            <w:tcW w:type="dxa" w:w="2304"/>
          </w:tcPr>
          <w:p>
            <w:pPr>
              <w:spacing w:after="0"/>
            </w:pPr>
            <w:r>
              <w:rPr>
                <w:b w:val="0"/>
                <w:sz w:val="18"/>
              </w:rPr>
              <w:t>6.000</w:t>
            </w:r>
          </w:p>
        </w:tc>
        <w:tc>
          <w:tcPr>
            <w:tcW w:type="dxa" w:w="3312"/>
          </w:tcPr>
          <w:p>
            <w:pPr>
              <w:spacing w:after="0"/>
            </w:pPr>
            <w:r>
              <w:rPr>
                <w:b w:val="0"/>
                <w:sz w:val="18"/>
              </w:rPr>
              <w:t>6 %</w:t>
            </w:r>
          </w:p>
        </w:tc>
      </w:tr>
      <w:tr>
        <w:tc>
          <w:tcPr>
            <w:tcW w:type="dxa" w:w="3744"/>
          </w:tcPr>
          <w:p>
            <w:pPr>
              <w:spacing w:after="0"/>
            </w:pPr>
            <w:r>
              <w:rPr>
                <w:b/>
                <w:sz w:val="18"/>
              </w:rPr>
              <w:t>Visitas al perfil</w:t>
            </w:r>
          </w:p>
        </w:tc>
        <w:tc>
          <w:tcPr>
            <w:tcW w:type="dxa" w:w="2304"/>
          </w:tcPr>
          <w:p>
            <w:pPr>
              <w:spacing w:after="0"/>
            </w:pPr>
            <w:r>
              <w:rPr>
                <w:b w:val="0"/>
                <w:sz w:val="18"/>
              </w:rPr>
              <w:t>360</w:t>
            </w:r>
          </w:p>
        </w:tc>
        <w:tc>
          <w:tcPr>
            <w:tcW w:type="dxa" w:w="3312"/>
          </w:tcPr>
          <w:p>
            <w:pPr>
              <w:spacing w:after="0"/>
            </w:pPr>
            <w:r>
              <w:rPr>
                <w:b w:val="0"/>
                <w:sz w:val="18"/>
              </w:rPr>
              <w:t>30 %</w:t>
            </w:r>
          </w:p>
        </w:tc>
      </w:tr>
      <w:tr>
        <w:tc>
          <w:tcPr>
            <w:tcW w:type="dxa" w:w="3744"/>
          </w:tcPr>
          <w:p>
            <w:pPr>
              <w:spacing w:after="0"/>
            </w:pPr>
            <w:r>
              <w:rPr>
                <w:b/>
                <w:sz w:val="18"/>
              </w:rPr>
              <w:t>Clics al sitio</w:t>
            </w:r>
          </w:p>
        </w:tc>
        <w:tc>
          <w:tcPr>
            <w:tcW w:type="dxa" w:w="2304"/>
          </w:tcPr>
          <w:p>
            <w:pPr>
              <w:spacing w:after="0"/>
            </w:pPr>
            <w:r>
              <w:rPr>
                <w:b w:val="0"/>
                <w:sz w:val="18"/>
              </w:rPr>
              <w:t>108</w:t>
            </w:r>
          </w:p>
        </w:tc>
        <w:tc>
          <w:tcPr>
            <w:tcW w:type="dxa" w:w="3312"/>
          </w:tcPr>
          <w:p>
            <w:pPr>
              <w:spacing w:after="0"/>
            </w:pPr>
            <w:r>
              <w:rPr>
                <w:b w:val="0"/>
                <w:sz w:val="18"/>
              </w:rPr>
              <w:t>60 %</w:t>
            </w:r>
          </w:p>
        </w:tc>
      </w:tr>
      <w:tr>
        <w:tc>
          <w:tcPr>
            <w:tcW w:type="dxa" w:w="3744"/>
          </w:tcPr>
          <w:p>
            <w:pPr>
              <w:spacing w:after="0"/>
            </w:pPr>
            <w:r>
              <w:rPr>
                <w:b/>
                <w:sz w:val="18"/>
              </w:rPr>
              <w:t>Llegan al catálogo</w:t>
            </w:r>
          </w:p>
        </w:tc>
        <w:tc>
          <w:tcPr>
            <w:tcW w:type="dxa" w:w="2304"/>
          </w:tcPr>
          <w:p>
            <w:pPr>
              <w:spacing w:after="0"/>
            </w:pPr>
            <w:r>
              <w:rPr>
                <w:b w:val="0"/>
                <w:sz w:val="18"/>
              </w:rPr>
              <w:t>65</w:t>
            </w:r>
          </w:p>
        </w:tc>
        <w:tc>
          <w:tcPr>
            <w:tcW w:type="dxa" w:w="3312"/>
          </w:tcPr>
          <w:p>
            <w:pPr>
              <w:spacing w:after="0"/>
            </w:pPr>
            <w:r>
              <w:rPr>
                <w:b w:val="0"/>
                <w:sz w:val="18"/>
              </w:rPr>
              <w:t>20 %</w:t>
            </w:r>
          </w:p>
        </w:tc>
      </w:tr>
      <w:tr>
        <w:tc>
          <w:tcPr>
            <w:tcW w:type="dxa" w:w="3744"/>
          </w:tcPr>
          <w:p>
            <w:pPr>
              <w:spacing w:after="0"/>
            </w:pPr>
            <w:r>
              <w:rPr>
                <w:b/>
                <w:sz w:val="18"/>
              </w:rPr>
              <w:t>Agregan al carrito</w:t>
            </w:r>
          </w:p>
        </w:tc>
        <w:tc>
          <w:tcPr>
            <w:tcW w:type="dxa" w:w="2304"/>
          </w:tcPr>
          <w:p>
            <w:pPr>
              <w:spacing w:after="0"/>
            </w:pPr>
            <w:r>
              <w:rPr>
                <w:b w:val="0"/>
                <w:sz w:val="18"/>
              </w:rPr>
              <w:t>13</w:t>
            </w:r>
          </w:p>
        </w:tc>
        <w:tc>
          <w:tcPr>
            <w:tcW w:type="dxa" w:w="3312"/>
          </w:tcPr>
          <w:p>
            <w:pPr>
              <w:spacing w:after="0"/>
            </w:pPr>
            <w:r>
              <w:rPr>
                <w:b w:val="0"/>
                <w:sz w:val="18"/>
              </w:rPr>
              <w:t>62 %</w:t>
            </w:r>
          </w:p>
        </w:tc>
      </w:tr>
      <w:tr>
        <w:tc>
          <w:tcPr>
            <w:tcW w:type="dxa" w:w="3744"/>
          </w:tcPr>
          <w:p>
            <w:pPr>
              <w:spacing w:after="0"/>
            </w:pPr>
            <w:r>
              <w:rPr>
                <w:b/>
                <w:sz w:val="18"/>
              </w:rPr>
              <w:t>Completan datos</w:t>
            </w:r>
          </w:p>
        </w:tc>
        <w:tc>
          <w:tcPr>
            <w:tcW w:type="dxa" w:w="2304"/>
          </w:tcPr>
          <w:p>
            <w:pPr>
              <w:spacing w:after="0"/>
            </w:pPr>
            <w:r>
              <w:rPr>
                <w:b w:val="0"/>
                <w:sz w:val="18"/>
              </w:rPr>
              <w:t>8</w:t>
            </w:r>
          </w:p>
        </w:tc>
        <w:tc>
          <w:tcPr>
            <w:tcW w:type="dxa" w:w="3312"/>
          </w:tcPr>
          <w:p>
            <w:pPr>
              <w:spacing w:after="0"/>
            </w:pPr>
            <w:r>
              <w:rPr>
                <w:b w:val="0"/>
                <w:sz w:val="18"/>
              </w:rPr>
              <w:t>38 %</w:t>
            </w:r>
          </w:p>
        </w:tc>
      </w:tr>
      <w:tr>
        <w:tc>
          <w:tcPr>
            <w:tcW w:type="dxa" w:w="3744"/>
          </w:tcPr>
          <w:p>
            <w:pPr>
              <w:spacing w:after="0"/>
            </w:pPr>
            <w:r>
              <w:rPr>
                <w:b/>
                <w:sz w:val="18"/>
              </w:rPr>
              <w:t>Compras simuladas</w:t>
            </w:r>
          </w:p>
        </w:tc>
        <w:tc>
          <w:tcPr>
            <w:tcW w:type="dxa" w:w="2304"/>
          </w:tcPr>
          <w:p>
            <w:pPr>
              <w:spacing w:after="0"/>
            </w:pPr>
            <w:r>
              <w:rPr>
                <w:b w:val="0"/>
                <w:sz w:val="18"/>
              </w:rPr>
              <w:t>3</w:t>
            </w:r>
          </w:p>
        </w:tc>
        <w:tc>
          <w:tcPr>
            <w:tcW w:type="dxa" w:w="3312"/>
          </w:tcPr>
          <w:p>
            <w:pPr>
              <w:spacing w:after="0"/>
            </w:pPr>
            <w:r>
              <w:rPr>
                <w:b w:val="0"/>
                <w:sz w:val="18"/>
              </w:rPr>
              <w:t>—</w:t>
            </w:r>
          </w:p>
        </w:tc>
      </w:tr>
    </w:tbl>
    <w:p/>
    <w:tbl>
      <w:tblPr>
        <w:tblStyle w:val="TableGrid"/>
        <w:tblW w:type="auto" w:w="0"/>
        <w:tblLayout w:type="fixed"/>
        <w:tblLook w:firstColumn="1" w:firstRow="1" w:lastColumn="0" w:lastRow="0" w:noHBand="0" w:noVBand="1" w:val="04A0"/>
      </w:tblPr>
      <w:tblGrid>
        <w:gridCol w:w="2016"/>
        <w:gridCol w:w="2592"/>
        <w:gridCol w:w="2304"/>
        <w:gridCol w:w="2448"/>
      </w:tblGrid>
      <w:tr>
        <w:tc>
          <w:tcPr>
            <w:tcW w:type="dxa" w:w="2016"/>
            <w:shd w:val="clear" w:color="auto" w:fill="2F4B3C"/>
          </w:tcPr>
          <w:p>
            <w:pPr>
              <w:spacing w:after="0"/>
            </w:pPr>
            <w:r>
              <w:rPr>
                <w:b/>
                <w:color w:val="FFFFFF"/>
                <w:sz w:val="18"/>
              </w:rPr>
              <w:t>Semana</w:t>
            </w:r>
          </w:p>
        </w:tc>
        <w:tc>
          <w:tcPr>
            <w:tcW w:type="dxa" w:w="2592"/>
            <w:shd w:val="clear" w:color="auto" w:fill="2F4B3C"/>
          </w:tcPr>
          <w:p>
            <w:pPr>
              <w:spacing w:after="0"/>
            </w:pPr>
            <w:r>
              <w:rPr>
                <w:b/>
                <w:color w:val="FFFFFF"/>
                <w:sz w:val="18"/>
              </w:rPr>
              <w:t>Cuentas alcanzadas</w:t>
            </w:r>
          </w:p>
        </w:tc>
        <w:tc>
          <w:tcPr>
            <w:tcW w:type="dxa" w:w="2304"/>
            <w:shd w:val="clear" w:color="auto" w:fill="2F4B3C"/>
          </w:tcPr>
          <w:p>
            <w:pPr>
              <w:spacing w:after="0"/>
            </w:pPr>
            <w:r>
              <w:rPr>
                <w:b/>
                <w:color w:val="FFFFFF"/>
                <w:sz w:val="18"/>
              </w:rPr>
              <w:t>Clics al sitio</w:t>
            </w:r>
          </w:p>
        </w:tc>
        <w:tc>
          <w:tcPr>
            <w:tcW w:type="dxa" w:w="2448"/>
            <w:shd w:val="clear" w:color="auto" w:fill="2F4B3C"/>
          </w:tcPr>
          <w:p>
            <w:pPr>
              <w:spacing w:after="0"/>
            </w:pPr>
            <w:r>
              <w:rPr>
                <w:b/>
                <w:color w:val="FFFFFF"/>
                <w:sz w:val="18"/>
              </w:rPr>
              <w:t>CTR</w:t>
            </w:r>
          </w:p>
        </w:tc>
      </w:tr>
      <w:tr>
        <w:tc>
          <w:tcPr>
            <w:tcW w:type="dxa" w:w="2016"/>
          </w:tcPr>
          <w:p>
            <w:pPr>
              <w:spacing w:after="0"/>
            </w:pPr>
            <w:r>
              <w:rPr>
                <w:b/>
                <w:sz w:val="18"/>
              </w:rPr>
              <w:t>Sem. 1</w:t>
            </w:r>
          </w:p>
        </w:tc>
        <w:tc>
          <w:tcPr>
            <w:tcW w:type="dxa" w:w="2592"/>
          </w:tcPr>
          <w:p>
            <w:pPr>
              <w:spacing w:after="0"/>
            </w:pPr>
            <w:r>
              <w:rPr>
                <w:b w:val="0"/>
                <w:sz w:val="18"/>
              </w:rPr>
              <w:t>900</w:t>
            </w:r>
          </w:p>
        </w:tc>
        <w:tc>
          <w:tcPr>
            <w:tcW w:type="dxa" w:w="2304"/>
          </w:tcPr>
          <w:p>
            <w:pPr>
              <w:spacing w:after="0"/>
            </w:pPr>
            <w:r>
              <w:rPr>
                <w:b w:val="0"/>
                <w:sz w:val="18"/>
              </w:rPr>
              <w:t>14</w:t>
            </w:r>
          </w:p>
        </w:tc>
        <w:tc>
          <w:tcPr>
            <w:tcW w:type="dxa" w:w="2448"/>
          </w:tcPr>
          <w:p>
            <w:pPr>
              <w:spacing w:after="0"/>
            </w:pPr>
            <w:r>
              <w:rPr>
                <w:b w:val="0"/>
                <w:sz w:val="18"/>
              </w:rPr>
              <w:t>1,56 %</w:t>
            </w:r>
          </w:p>
        </w:tc>
      </w:tr>
      <w:tr>
        <w:tc>
          <w:tcPr>
            <w:tcW w:type="dxa" w:w="2016"/>
          </w:tcPr>
          <w:p>
            <w:pPr>
              <w:spacing w:after="0"/>
            </w:pPr>
            <w:r>
              <w:rPr>
                <w:b/>
                <w:sz w:val="18"/>
              </w:rPr>
              <w:t>Sem. 2</w:t>
            </w:r>
          </w:p>
        </w:tc>
        <w:tc>
          <w:tcPr>
            <w:tcW w:type="dxa" w:w="2592"/>
          </w:tcPr>
          <w:p>
            <w:pPr>
              <w:spacing w:after="0"/>
            </w:pPr>
            <w:r>
              <w:rPr>
                <w:b w:val="0"/>
                <w:sz w:val="18"/>
              </w:rPr>
              <w:t>1.400</w:t>
            </w:r>
          </w:p>
        </w:tc>
        <w:tc>
          <w:tcPr>
            <w:tcW w:type="dxa" w:w="2304"/>
          </w:tcPr>
          <w:p>
            <w:pPr>
              <w:spacing w:after="0"/>
            </w:pPr>
            <w:r>
              <w:rPr>
                <w:b w:val="0"/>
                <w:sz w:val="18"/>
              </w:rPr>
              <w:t>24</w:t>
            </w:r>
          </w:p>
        </w:tc>
        <w:tc>
          <w:tcPr>
            <w:tcW w:type="dxa" w:w="2448"/>
          </w:tcPr>
          <w:p>
            <w:pPr>
              <w:spacing w:after="0"/>
            </w:pPr>
            <w:r>
              <w:rPr>
                <w:b w:val="0"/>
                <w:sz w:val="18"/>
              </w:rPr>
              <w:t>1,71 %</w:t>
            </w:r>
          </w:p>
        </w:tc>
      </w:tr>
      <w:tr>
        <w:tc>
          <w:tcPr>
            <w:tcW w:type="dxa" w:w="2016"/>
          </w:tcPr>
          <w:p>
            <w:pPr>
              <w:spacing w:after="0"/>
            </w:pPr>
            <w:r>
              <w:rPr>
                <w:b/>
                <w:sz w:val="18"/>
              </w:rPr>
              <w:t>Sem. 3</w:t>
            </w:r>
          </w:p>
        </w:tc>
        <w:tc>
          <w:tcPr>
            <w:tcW w:type="dxa" w:w="2592"/>
          </w:tcPr>
          <w:p>
            <w:pPr>
              <w:spacing w:after="0"/>
            </w:pPr>
            <w:r>
              <w:rPr>
                <w:b w:val="0"/>
                <w:sz w:val="18"/>
              </w:rPr>
              <w:t>1.700</w:t>
            </w:r>
          </w:p>
        </w:tc>
        <w:tc>
          <w:tcPr>
            <w:tcW w:type="dxa" w:w="2304"/>
          </w:tcPr>
          <w:p>
            <w:pPr>
              <w:spacing w:after="0"/>
            </w:pPr>
            <w:r>
              <w:rPr>
                <w:b w:val="0"/>
                <w:sz w:val="18"/>
              </w:rPr>
              <w:t>32</w:t>
            </w:r>
          </w:p>
        </w:tc>
        <w:tc>
          <w:tcPr>
            <w:tcW w:type="dxa" w:w="2448"/>
          </w:tcPr>
          <w:p>
            <w:pPr>
              <w:spacing w:after="0"/>
            </w:pPr>
            <w:r>
              <w:rPr>
                <w:b w:val="0"/>
                <w:sz w:val="18"/>
              </w:rPr>
              <w:t>1,88 %</w:t>
            </w:r>
          </w:p>
        </w:tc>
      </w:tr>
      <w:tr>
        <w:tc>
          <w:tcPr>
            <w:tcW w:type="dxa" w:w="2016"/>
          </w:tcPr>
          <w:p>
            <w:pPr>
              <w:spacing w:after="0"/>
            </w:pPr>
            <w:r>
              <w:rPr>
                <w:b/>
                <w:sz w:val="18"/>
              </w:rPr>
              <w:t>Sem. 4</w:t>
            </w:r>
          </w:p>
        </w:tc>
        <w:tc>
          <w:tcPr>
            <w:tcW w:type="dxa" w:w="2592"/>
          </w:tcPr>
          <w:p>
            <w:pPr>
              <w:spacing w:after="0"/>
            </w:pPr>
            <w:r>
              <w:rPr>
                <w:b w:val="0"/>
                <w:sz w:val="18"/>
              </w:rPr>
              <w:t>2.000</w:t>
            </w:r>
          </w:p>
        </w:tc>
        <w:tc>
          <w:tcPr>
            <w:tcW w:type="dxa" w:w="2304"/>
          </w:tcPr>
          <w:p>
            <w:pPr>
              <w:spacing w:after="0"/>
            </w:pPr>
            <w:r>
              <w:rPr>
                <w:b w:val="0"/>
                <w:sz w:val="18"/>
              </w:rPr>
              <w:t>38</w:t>
            </w:r>
          </w:p>
        </w:tc>
        <w:tc>
          <w:tcPr>
            <w:tcW w:type="dxa" w:w="2448"/>
          </w:tcPr>
          <w:p>
            <w:pPr>
              <w:spacing w:after="0"/>
            </w:pPr>
            <w:r>
              <w:rPr>
                <w:b w:val="0"/>
                <w:sz w:val="18"/>
              </w:rPr>
              <w:t>1,90 %</w:t>
            </w:r>
          </w:p>
        </w:tc>
      </w:tr>
    </w:tbl>
    <w:p/>
    <w:p>
      <w:pPr>
        <w:pStyle w:val="Heading1"/>
      </w:pPr>
      <w:r>
        <w:t>6. Cómo se usa el panel</w:t>
      </w:r>
    </w:p>
    <w:p>
      <w:pPr>
        <w:pStyle w:val="ListBullet"/>
        <w:spacing w:after="60"/>
      </w:pPr>
      <w:r>
        <w:rPr>
          <w:b/>
        </w:rPr>
        <w:t xml:space="preserve">Revisión semanal. </w:t>
      </w:r>
      <w:r>
        <w:t>Cada lunes, junto con el tablero Kanban: CTR e interacción por pieza, a partir de las estadísticas de Instagram y el parámetro utm_content.</w:t>
      </w:r>
    </w:p>
    <w:p>
      <w:pPr>
        <w:pStyle w:val="ListBullet"/>
        <w:spacing w:after="60"/>
      </w:pPr>
      <w:r>
        <w:rPr>
          <w:b/>
        </w:rPr>
        <w:t xml:space="preserve">Revisión mensual. </w:t>
      </w:r>
      <w:r>
        <w:t>Conversión, abandono de carrito y CAC, con una ronda de pruebas de usuario que entran por el enlace de la biografía.</w:t>
      </w:r>
    </w:p>
    <w:p>
      <w:pPr>
        <w:pStyle w:val="ListBullet"/>
        <w:spacing w:after="60"/>
      </w:pPr>
      <w:r>
        <w:rPr>
          <w:b/>
        </w:rPr>
        <w:t xml:space="preserve">Decisiones. </w:t>
      </w:r>
      <w:r>
        <w:t>Un KPI en alerta dos semanas seguidas abre una acción en el tablero. Por ejemplo, un CTR bajo lleva a cambiar el texto de la CTA, y un abandono alto, a revisar el carrito.</w:t>
      </w:r>
    </w:p>
    <w:p>
      <w:pPr>
        <w:pStyle w:val="ListBullet"/>
        <w:spacing w:after="60"/>
      </w:pPr>
      <w:r>
        <w:rPr>
          <w:b/>
        </w:rPr>
        <w:t xml:space="preserve">Privacidad. </w:t>
      </w:r>
      <w:r>
        <w:t>El sitio no instala analítica ni cookies. Medir dentro del sitio con una herramienta exigiría antes una nueva versión de la Política de privacidad y el consentimiento del usuario.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B3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B3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