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4B3C"/>
          <w:sz w:val="36"/>
        </w:rPr>
        <w:t>MATRIZ Y REGISTRO DE RIESGOS</w:t>
      </w:r>
    </w:p>
    <w:p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Materia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Dirección y Gestión de Proyectos Tecnológicos (DGP)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Actividad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Sprint 3 — Tarea 3.4: Reevaluación de la matriz de riesgos tras la integración de JavaScript (corte 22/10)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Startup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Woodbird — Aves decorativas de madera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Autor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Reiss Jorge Nicolás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Docente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Ibañez Erick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22 de octubre de 2026</w:t>
            </w:r>
          </w:p>
        </w:tc>
      </w:tr>
    </w:tbl>
    <w:p/>
    <w:p>
      <w:pPr>
        <w:pStyle w:val="Heading1"/>
      </w:pPr>
      <w:r>
        <w:t>1. Objeto y metodología</w:t>
      </w:r>
    </w:p>
    <w:p>
      <w:r>
        <w:t>Este documento reevalúa la matriz de riesgos del Sprint 2 a la luz de lo ocurrido en el Sprint 3, que incorporó la carga asincrónica del catálogo, el carrito de compras en JavaScript y los Términos y Condiciones. Se conservan los riesgos abiertos del Sprint 2 con su nueva evaluación y se agregan los riesgos propios de la integración de JavaScript (R10 a R15). La versión anterior está en docs/sprint-2/02_Matriz_de_Riesgos.docx.</w:t>
      </w:r>
    </w:p>
    <w:p>
      <w:r>
        <w:t>Se usa la misma escala: probabilidad e impacto de 1 a 5 y nivel = P × I, clasificado como Alto (15 a 25), Medio (8 a 12) o Bajo (1 a 6). La evaluación es la inherente, antes de aplicar la respuesta. El estado posterior figura en la sección 5. R5 (consentimiento, Ley 25.326) quedó cerrado en el Sprint 2 y no se vuelve a evaluar.</w:t>
      </w:r>
    </w:p>
    <w:p>
      <w:pPr>
        <w:pStyle w:val="Heading1"/>
      </w:pPr>
      <w:r>
        <w:t>2. Registro de riesgos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76"/>
        <w:gridCol w:w="3456"/>
        <w:gridCol w:w="1152"/>
        <w:gridCol w:w="432"/>
        <w:gridCol w:w="432"/>
        <w:gridCol w:w="864"/>
        <w:gridCol w:w="2448"/>
      </w:tblGrid>
      <w:tr>
        <w:tc>
          <w:tcPr>
            <w:tcW w:type="dxa" w:w="57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45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244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Disparador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Sobrecarga del único integrante, que cubre los cuatro roles del proyecto, y consecuente incumplimiento de entregas.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Equipo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864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25 Alto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Dos o más tareas vencidas en la misma semana.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Atraso en el inicio del sprint: el trabajo empieza tarde y se comprime contra la fecha de entrega.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Tiempos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20 Alto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Fin de la semana 7 sin el hito «Fetch API conectada».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La campaña de Instagram no llega a publicarse, aunque la Tarea 3.5 pide publicaciones reales con llamadas a la acción.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Llegar a la semana 9 sin publicaciones.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Inconsistencia de alcance entre el Acta (backend y pagos reales) y la consigna (compra simulada). La solicitud SC-01 no tiene respuesta.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Observación del docente o requisito que contradiga el Acta.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Las imágenes de producto con IA no se generan y el catálogo sigue con láminas de color.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 / Legal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10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Semana 8 sin imágenes en assets/img/.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Fallas de funcionamiento o de visualización en navegadores o dispositivos no probados. El JavaScript nuevo no se probó en un teléfono real ni en Firefox o Safari.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Un caso de prueba manual falla en un dispositivo real.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Pérdida de fuentes del proyecto: los generadores de documentos y el script de Trello están fuera del repositorio.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Gestión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Cambio de equipo o borrado de la carpeta de trabajo.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R9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Caída o bloqueo de servicios externos (GitHub, Trello, Google Fonts). El token de la API de Trello vence el 22/10.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8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Servicio inaccesible o token vencido el día de la entrega.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R10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El catálogo no carga si el sitio se abre como archivo (file://), porque Fetch y los módulos ES requieren un servidor HTTP.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15 Alto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Catálogo vacío al abrir index.html con doble clic.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R11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Falla de carga de productos.json en producción (red caída o JSON mal formado), que deja la tienda sin catálogo.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8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Grilla vacía o error de JavaScript en la consola.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R12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Incoherencia entre las cláusulas legales y el comportamiento del software (envío, tope de unidades, stock, plazos).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Legal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Un cambio en el carrito o el checkout sin revisión de los Términos y Condiciones.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R13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Regresiones al reemplazar el HTML fijo por DOM generado con JavaScript: pruebas que dependen del contenido fijo y pérdida del foco del teclado al redibujar.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9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Pruebas del Sprint 2 que fallan tras el cambio.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R14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Inyección de código (XSS) si los datos del JSON se insertan en la página como HTML.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Seguridad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864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8 Medio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Uso de innerHTML con datos externos.</w:t>
            </w:r>
          </w:p>
        </w:tc>
      </w:tr>
      <w:tr>
        <w:tc>
          <w:tcPr>
            <w:tcW w:type="dxa" w:w="576"/>
          </w:tcPr>
          <w:p>
            <w:pPr>
              <w:spacing w:after="0"/>
            </w:pPr>
            <w:r>
              <w:rPr>
                <w:b/>
                <w:sz w:val="18"/>
              </w:rPr>
              <w:t>R15</w:t>
            </w:r>
          </w:p>
        </w:tc>
        <w:tc>
          <w:tcPr>
            <w:tcW w:type="dxa" w:w="3456"/>
          </w:tcPr>
          <w:p>
            <w:pPr>
              <w:spacing w:after="0"/>
            </w:pPr>
            <w:r>
              <w:rPr>
                <w:b w:val="0"/>
                <w:sz w:val="18"/>
              </w:rPr>
              <w:t>Incompatibilidad de navegadores antiguos con módulos ES, await de nivel superior y expresiones regulares Unicode.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b w:val="0"/>
                <w:sz w:val="18"/>
              </w:rPr>
              <w:t>Reporte de catálogo vacío en un navegador desactualizado.</w:t>
            </w:r>
          </w:p>
        </w:tc>
      </w:tr>
    </w:tbl>
    <w:p/>
    <w:p>
      <w:pPr>
        <w:pStyle w:val="Heading1"/>
      </w:pPr>
      <w:r>
        <w:t>3. Matriz de probabilidad e impacto</w:t>
      </w:r>
    </w:p>
    <w:p>
      <w:r>
        <w:t>Ubicación de cada riesgo según su evaluación. Las celdas se colorean por nivel.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 \ I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1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2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3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4</w:t>
            </w:r>
          </w:p>
        </w:tc>
        <w:tc>
          <w:tcPr>
            <w:tcW w:type="dxa" w:w="15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Impacto 5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5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R6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R10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R2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  <w:t>R1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4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R9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R3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3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R13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R4, R12</w:t>
            </w:r>
          </w:p>
        </w:tc>
        <w:tc>
          <w:tcPr>
            <w:tcW w:type="dxa" w:w="1560"/>
            <w:shd w:val="clear" w:color="auto" w:fill="F4C7C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2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R7, R8, R15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R11, R14</w:t>
            </w:r>
          </w:p>
        </w:tc>
        <w:tc>
          <w:tcPr>
            <w:tcW w:type="dxa" w:w="1560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>
              <w:rPr>
                <w:b/>
                <w:sz w:val="18"/>
              </w:rPr>
              <w:t>Probabilidad 1</w:t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560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4. Plan de respuesta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1008"/>
        <w:gridCol w:w="3240"/>
        <w:gridCol w:w="3024"/>
        <w:gridCol w:w="1440"/>
      </w:tblGrid>
      <w:tr>
        <w:tc>
          <w:tcPr>
            <w:tcW w:type="dxa" w:w="64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00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Estrategia</w:t>
            </w:r>
          </w:p>
        </w:tc>
        <w:tc>
          <w:tcPr>
            <w:tcW w:type="dxa" w:w="324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Plan de acción (preventivo)</w:t>
            </w:r>
          </w:p>
        </w:tc>
        <w:tc>
          <w:tcPr>
            <w:tcW w:type="dxa" w:w="302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Plan de contingencia</w:t>
            </w:r>
          </w:p>
        </w:tc>
        <w:tc>
          <w:tcPr>
            <w:tcW w:type="dxa" w:w="144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Hitos semanales verificables: al menos un commit o una tarjeta movida por semana. Límite de dos tareas en «En progreso».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Concentrar el esfuerzo en las tareas con más peso en la nota y postergar las no críticas mediante solicitudes de cambio (SC-05).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Revisión del tablero cada lunes contra el cronograma de la consigna.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Fast tracking: resolver en paralelo las tareas técnicas y legales que se apoyan entre sí (carrito y Términos y Condiciones).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Preparar las piezas y los textos con CTA antes de la semana 9.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Documentar las piezas maquetadas con métricas proyectadas y declararlas como simuladas, como en el Sprint 2.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Responsable de Negocio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Reiterar la solicitud SC-01 adjuntándola a la carpeta del Sprint 3.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Mantener el alcance simulado, que es el que piden las consignas, hasta que el docente decida.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Postergar la generación al Sprint 4 (SC-05).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Mantener las láminas de color con el sello «Imagen con IA».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Casos de prueba manuales CP-37 (teléfono real) y CP-38 (Firefox) antes del lanzamiento.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Corregir y volver a ejecutar las pruebas automáticas en los 11 anchos.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Subir los generadores y el script de Trello al repositorio, sin las credenciales.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Regenerar los documentos desde las copias de la carpeta de trabajo.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R9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Actualizar el tablero antes del vencimiento y regenerar el token por 30 días.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Entregar capturas del tablero junto con la carpeta.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R10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 visible si el catálogo no carga e instrucciones de uso con «python -m http.server» en el README.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El sitio publicado en GitHub Pages se sirve por HTTPS y no está afectado.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R11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 accesible cuando falla la carga (CP-10). Las pruebas cargan el JSON en cada ejecución.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Volver a la versión anterior de productos.json desde el historial de Git.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R12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Tabla de coherencia entre cláusulas y código (Términos y Condiciones, sección 5). Casos de prueba con referencia a la cláusula. Regla escrita en CLAUDE.md.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Corregir el código o publicar una nueva versión de los términos antes del lanzamiento.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Compliance Officer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R13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Adaptar las pruebas para que carguen el carrito antes de medir. Actualizar las filas del carrito en el lugar, sin reconstruir la tabla.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Volver a la versión estática desde el historial de Git.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R14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Crear todos los nodos con textContent mediante la función el(), sin innerHTML.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Revisar el código ante cualquier dato externo nuevo.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R15</w:t>
            </w:r>
          </w:p>
        </w:tc>
        <w:tc>
          <w:tcPr>
            <w:tcW w:type="dxa" w:w="1008"/>
          </w:tcPr>
          <w:p>
            <w:pPr>
              <w:spacing w:after="0"/>
            </w:pPr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240"/>
          </w:tcPr>
          <w:p>
            <w:pPr>
              <w:spacing w:after="0"/>
            </w:pPr>
            <w:r>
              <w:rPr>
                <w:b w:val="0"/>
                <w:sz w:val="18"/>
              </w:rPr>
              <w:t>Usar sólo funciones con soporte en Chrome, Edge, Firefox y Safari desde 2021.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 y aviso &lt;noscript&gt; en el catálogo.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b w:val="0"/>
                <w:sz w:val="18"/>
              </w:rPr>
              <w:t>Desarrollador</w:t>
            </w:r>
          </w:p>
        </w:tc>
      </w:tr>
    </w:tbl>
    <w:p/>
    <w:p>
      <w:pPr>
        <w:pStyle w:val="Heading1"/>
      </w:pPr>
      <w:r>
        <w:t>5. Seguimiento al 22/10</w:t>
      </w:r>
    </w:p>
    <w:p>
      <w:r>
        <w:t>Para cada riesgo: si se materializó, qué respuesta se aplicó y en qué estado queda.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2880"/>
        <w:gridCol w:w="3672"/>
        <w:gridCol w:w="2160"/>
      </w:tblGrid>
      <w:tr>
        <w:tc>
          <w:tcPr>
            <w:tcW w:type="dxa" w:w="64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¿Se materializó?</w:t>
            </w:r>
          </w:p>
        </w:tc>
        <w:tc>
          <w:tcPr>
            <w:tcW w:type="dxa" w:w="367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Respuesta aplicada y evidencia</w:t>
            </w:r>
          </w:p>
        </w:tc>
        <w:tc>
          <w:tcPr>
            <w:tcW w:type="dxa" w:w="21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Estado al 22/10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Sí. Entre el 05/10 y el 21/10 no hubo avances registrados: ningún commit ni movimiento en el tablero. Las tareas 3.1, 3.2, 3.7 y 3.8 se resolvieron el 22/10.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Contingencia aplicada el 22/10: se priorizaron las tareas técnicas y legales, que son las que más pesan en la evaluación, y se propuso postergar las imágenes (SC-05).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Activo. Alto. Se mantiene en el Sprint 4 con hitos semanales obligatorios.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Sí. El trabajo empezó 17 días después del inicio del sprint (05/10 → 22/10). Desvío: Fetch +13 días; Términos y Condiciones +6 días.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Fast tracking: carrito y Términos y Condiciones se resolvieron el mismo día, con la tabla de coherencia como vínculo entre ambos.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Activo hasta la entrega del 23/10.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En curso: al 22/10 no hay publicaciones.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Pendiente: la tarea 3.5 se trata el 23/10.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Abierto. Responsable de Negocio.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Sin cambios: el docente no respondió la SC-01.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Se reitera con la carpeta del Sprint 3 (Registro de solicitudes de cambio).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Abierto. Project Manager.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Sí: no se generaron las imágenes.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Contingencia vigente: las láminas mantienen el sello «Imagen con IA». La SC-05, aprobada el 22/10, pasa la tarea al Sprint 4.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Aceptado para el Sprint 3.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 Las pruebas automáticas cumplen en 33 de 33 combinaciones.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Pendientes: CP-37 (teléfono real) y CP-38 (Firefox).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 Bajo.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 Detectado el 22/10.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Pendiente: versionar las herramientas en el Sprint 4.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Abierto. Bajo.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R9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Parcialmente: el token de Trello vence el 22/10.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El tablero se actualizó ese mismo día, antes del vencimiento. Queda regenerar el token.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Sí, durante el diseño de la integración. No llegó a producción.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Mensaje de error, instrucciones en README y CLAUDE.md. El sitio publicado funciona.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R11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CP-10 verificado: sin productos.json, el sitio muestra «No pudimos cargar el catálogo…» y no queda en estado de carga.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R12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Sí. Al preparar la campaña de Instagram (22/10) se detectó que la portada, el catálogo y los Términos v1.0 presentaban las piezas como talladas y enviadas, en contradicción con la Declaración de triple impacto del Sprint 1.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Se corrigió con la SC-06: Términos v1.1 (cláusulas 2 y 4), portada y descripciones del catálogo. Tabla de coherencia publicada. Los casos de prueba CP-03, CP-14, CP-21, CP-23, CP-31 y CP-34 verifican las cláusulas.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 Compliance Officer.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R13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Sí: las pruebas del Sprint 2 suponían el carrito precargado en el HTML.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Las pruebas se adaptaron y se sumaron 3 pruebas funcionales. El carrito conserva el foco al cambiar cantidades.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R14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Evitado por diseño: el código no usa innerHTML.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c>
          <w:tcPr>
            <w:tcW w:type="dxa" w:w="648"/>
          </w:tcPr>
          <w:p>
            <w:pPr>
              <w:spacing w:after="0"/>
            </w:pPr>
            <w:r>
              <w:rPr>
                <w:b/>
                <w:sz w:val="18"/>
              </w:rPr>
              <w:t>R15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672"/>
          </w:tcPr>
          <w:p>
            <w:pPr>
              <w:spacing w:after="0"/>
            </w:pPr>
            <w:r>
              <w:rPr>
                <w:b w:val="0"/>
                <w:sz w:val="18"/>
              </w:rPr>
              <w:t>Respuesta aplicada por diseño.</w:t>
            </w:r>
          </w:p>
        </w:tc>
        <w:tc>
          <w:tcPr>
            <w:tcW w:type="dxa" w:w="2160"/>
          </w:tcPr>
          <w:p>
            <w:pPr>
              <w:spacing w:after="0"/>
            </w:pPr>
            <w:r>
              <w:rPr>
                <w:b w:val="0"/>
                <w:sz w:val="18"/>
              </w:rPr>
              <w:t>Monitoreo. Bajo.</w:t>
            </w:r>
          </w:p>
        </w:tc>
      </w:tr>
    </w:tbl>
    <w:p/>
    <w:p>
      <w:pPr>
        <w:pStyle w:val="Heading1"/>
      </w:pPr>
      <w:r>
        <w:t>6. Análisis de la integración de JavaScript</w:t>
      </w:r>
    </w:p>
    <w:p>
      <w:r>
        <w:t>La integración de JavaScript trajo seis riesgos nuevos. Tres de ellos (R10, R13 y R14) se trataron en el diseño, antes de que pudieran afectar al sitio publicado:</w:t>
      </w:r>
    </w:p>
    <w:p>
      <w:pPr>
        <w:pStyle w:val="ListBullet"/>
        <w:spacing w:after="60"/>
      </w:pPr>
      <w:r>
        <w:rPr>
          <w:b/>
        </w:rPr>
        <w:t xml:space="preserve">Ejecución local. </w:t>
      </w:r>
      <w:r>
        <w:t>Fetch y los módulos ES no funcionan al abrir index.html como archivo. En lugar de una grilla vacía, el sitio muestra un mensaje de error, y el README explica cómo servirlo por HTTP.</w:t>
      </w:r>
    </w:p>
    <w:p>
      <w:pPr>
        <w:pStyle w:val="ListBullet"/>
        <w:spacing w:after="60"/>
      </w:pPr>
      <w:r>
        <w:rPr>
          <w:b/>
        </w:rPr>
        <w:t xml:space="preserve">Pruebas acopladas al HTML. </w:t>
      </w:r>
      <w:r>
        <w:t>Las pruebas del Sprint 2 medían un carrito escrito a mano. Ahora cargan dos piezas antes de medir y suman pruebas funcionales del carrito, los filtros, el checkout, las reglas legales y la falla de carga del catálogo.</w:t>
      </w:r>
    </w:p>
    <w:p>
      <w:pPr>
        <w:pStyle w:val="ListBullet"/>
        <w:spacing w:after="60"/>
      </w:pPr>
      <w:r>
        <w:rPr>
          <w:b/>
        </w:rPr>
        <w:t xml:space="preserve">Seguridad del DOM. </w:t>
      </w:r>
      <w:r>
        <w:t>Las tarjetas se construyen nodo por nodo con textContent, por lo que un dato del JSON nunca se interpreta como HTML.</w:t>
      </w:r>
    </w:p>
    <w:p>
      <w:r>
        <w:t>La lección principal del sprint no es técnica, sino de gestión: R1 y R2 se volvieron a materializar con más fuerza que en el Sprint 2. La consecuencia para el Sprint 4, que es la última etapa, es planificar con hitos semanales verificables en el repositorio y en el tablero, en lugar de un único hito al cierre.</w:t>
      </w:r>
    </w:p>
    <w:p>
      <w:pPr>
        <w:pStyle w:val="Heading1"/>
      </w:pPr>
      <w:r>
        <w:t>Firma</w:t>
      </w:r>
    </w:p>
    <w:p>
      <w:r>
        <w:t>Declaro revisados los riesgos del Sprint 3 al 22/10. Quedan activos R1 y R2 (Alto) hasta la entrega del 23/10, y abiertos R3, R4 y R8, con responsable asignado.</w:t>
      </w:r>
    </w:p>
    <w:p>
      <w:r>
        <w:t>Project Manager: Reiss Jorge Nicolás</w:t>
      </w:r>
    </w:p>
    <w:p>
      <w:r>
        <w:t>Firma: ______________________________</w:t>
      </w:r>
    </w:p>
    <w:p>
      <w:r>
        <w:t>Fecha: ____ / ____ /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4B3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