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F4B3C"/>
          <w:sz w:val="36"/>
        </w:rPr>
        <w:t>PLAN DE CASOS DE PRUEBA</w:t>
      </w:r>
    </w:p>
    <w:p>
      <w:r>
        <w:rPr>
          <w:color w:val="444444"/>
          <w:sz w:val="24"/>
        </w:rPr>
        <w:t>Woodbird — Aves decorativas de madera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val="clear" w:color="auto" w:fill="E3EBE5"/>
          </w:tcPr>
          <w:p>
            <w:pPr>
              <w:spacing w:after="0"/>
            </w:pPr>
            <w:r>
              <w:rPr>
                <w:b/>
                <w:sz w:val="18"/>
              </w:rPr>
              <w:t>Materia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rPr>
                <w:b w:val="0"/>
                <w:sz w:val="18"/>
              </w:rPr>
              <w:t>Dirección y Gestión de Proyectos Tecnológicos (DGP)</w:t>
            </w:r>
          </w:p>
        </w:tc>
      </w:tr>
      <w:tr>
        <w:tc>
          <w:tcPr>
            <w:tcW w:type="dxa" w:w="2016"/>
            <w:shd w:val="clear" w:color="auto" w:fill="E3EBE5"/>
          </w:tcPr>
          <w:p>
            <w:pPr>
              <w:spacing w:after="0"/>
            </w:pPr>
            <w:r>
              <w:rPr>
                <w:b/>
                <w:sz w:val="18"/>
              </w:rPr>
              <w:t>Actividad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rPr>
                <w:b w:val="0"/>
                <w:sz w:val="18"/>
              </w:rPr>
              <w:t>Sprint 3 — Tarea 3.4: Plan de pruebas inicial (carrito, navegación adaptable y reglas de negocio)</w:t>
            </w:r>
          </w:p>
        </w:tc>
      </w:tr>
      <w:tr>
        <w:tc>
          <w:tcPr>
            <w:tcW w:type="dxa" w:w="2016"/>
            <w:shd w:val="clear" w:color="auto" w:fill="E3EBE5"/>
          </w:tcPr>
          <w:p>
            <w:pPr>
              <w:spacing w:after="0"/>
            </w:pPr>
            <w:r>
              <w:rPr>
                <w:b/>
                <w:sz w:val="18"/>
              </w:rPr>
              <w:t>Rol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rPr>
                <w:b w:val="0"/>
                <w:sz w:val="18"/>
              </w:rPr>
              <w:t>Project Manager / QA</w:t>
            </w:r>
          </w:p>
        </w:tc>
      </w:tr>
      <w:tr>
        <w:tc>
          <w:tcPr>
            <w:tcW w:type="dxa" w:w="2016"/>
            <w:shd w:val="clear" w:color="auto" w:fill="E3EBE5"/>
          </w:tcPr>
          <w:p>
            <w:pPr>
              <w:spacing w:after="0"/>
            </w:pPr>
            <w:r>
              <w:rPr>
                <w:b/>
                <w:sz w:val="18"/>
              </w:rPr>
              <w:t>Startup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rPr>
                <w:b w:val="0"/>
                <w:sz w:val="18"/>
              </w:rPr>
              <w:t>Woodbird — Aves decorativas de madera</w:t>
            </w:r>
          </w:p>
        </w:tc>
      </w:tr>
      <w:tr>
        <w:tc>
          <w:tcPr>
            <w:tcW w:type="dxa" w:w="2016"/>
            <w:shd w:val="clear" w:color="auto" w:fill="E3EBE5"/>
          </w:tcPr>
          <w:p>
            <w:pPr>
              <w:spacing w:after="0"/>
            </w:pPr>
            <w:r>
              <w:rPr>
                <w:b/>
                <w:sz w:val="18"/>
              </w:rPr>
              <w:t>Autor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rPr>
                <w:b w:val="0"/>
                <w:sz w:val="18"/>
              </w:rPr>
              <w:t>Reiss Jorge Nicolás</w:t>
            </w:r>
          </w:p>
        </w:tc>
      </w:tr>
      <w:tr>
        <w:tc>
          <w:tcPr>
            <w:tcW w:type="dxa" w:w="2016"/>
            <w:shd w:val="clear" w:color="auto" w:fill="E3EBE5"/>
          </w:tcPr>
          <w:p>
            <w:pPr>
              <w:spacing w:after="0"/>
            </w:pPr>
            <w:r>
              <w:rPr>
                <w:b/>
                <w:sz w:val="18"/>
              </w:rPr>
              <w:t>Docente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rPr>
                <w:b w:val="0"/>
                <w:sz w:val="18"/>
              </w:rPr>
              <w:t>Ibañez Erick</w:t>
            </w:r>
          </w:p>
        </w:tc>
      </w:tr>
      <w:tr>
        <w:tc>
          <w:tcPr>
            <w:tcW w:type="dxa" w:w="2016"/>
            <w:shd w:val="clear" w:color="auto" w:fill="E3EBE5"/>
          </w:tcPr>
          <w:p>
            <w:pPr>
              <w:spacing w:after="0"/>
            </w:pPr>
            <w:r>
              <w:rPr>
                <w:b/>
                <w:sz w:val="18"/>
              </w:rPr>
              <w:t>Fecha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rPr>
                <w:b w:val="0"/>
                <w:sz w:val="18"/>
              </w:rPr>
              <w:t>22 de octubre de 2026</w:t>
            </w:r>
          </w:p>
        </w:tc>
      </w:tr>
    </w:tbl>
    <w:p/>
    <w:p>
      <w:pPr>
        <w:pStyle w:val="Heading1"/>
      </w:pPr>
      <w:r>
        <w:t>1. Objeto y alcance</w:t>
      </w:r>
    </w:p>
    <w:p>
      <w:r>
        <w:t>Este plan define los casos de prueba que verifican, antes del lanzamiento del Sprint 4, el funcionamiento del carrito de compras, la navegación adaptable y el cumplimiento de las reglas de negocio y de las cláusulas legales. Cada caso indica la regla o la cláusula que verifica, para mantener la coherencia entre el software y los Términos y Condiciones que pide el criterio integrador del sprint.</w:t>
      </w:r>
    </w:p>
    <w:p>
      <w:r>
        <w:t>Quedan fuera del alcance el pago real y el envío de datos a un servidor, que no existen en la versión de demostración, así como la carga de trabajo y el rendimiento.</w:t>
      </w:r>
    </w:p>
    <w:p>
      <w:pPr>
        <w:pStyle w:val="Heading1"/>
      </w:pPr>
      <w:r>
        <w:t>2. Estrategia y entorno</w:t>
      </w:r>
    </w:p>
    <w:p>
      <w:pPr>
        <w:pStyle w:val="ListBullet"/>
        <w:spacing w:after="60"/>
      </w:pPr>
      <w:r>
        <w:rPr>
          <w:b/>
        </w:rPr>
        <w:t xml:space="preserve">Pruebas automáticas. </w:t>
      </w:r>
      <w:r>
        <w:t>33 casos se ejecutan con pruebas/responsive.mjs, que maneja Chrome sin interfaz por el protocolo DevTools, sin dependencias. Recorre index.html, politica-privacidad.html y terminos-y-condiciones.html en 11 anchos (de 320 a 1920 px), con movimiento reducido, y guarda capturas y resultados.json.</w:t>
      </w:r>
    </w:p>
    <w:p>
      <w:pPr>
        <w:pStyle w:val="ListBullet"/>
        <w:spacing w:after="60"/>
      </w:pPr>
      <w:r>
        <w:rPr>
          <w:b/>
        </w:rPr>
        <w:t xml:space="preserve">Pruebas manuales. </w:t>
      </w:r>
      <w:r>
        <w:t>5 casos requieren a una persona, un dispositivo real u otro navegador. Se ejecutan en el Sprint 4, antes del lanzamiento.</w:t>
      </w:r>
    </w:p>
    <w:p>
      <w:pPr>
        <w:pStyle w:val="ListBullet"/>
        <w:spacing w:after="60"/>
      </w:pPr>
      <w:r>
        <w:rPr>
          <w:b/>
        </w:rPr>
        <w:t xml:space="preserve">Entorno. </w:t>
      </w:r>
      <w:r>
        <w:t>Sitio servido con «python -m http.server 8765». Node 22 y Chrome en Windows 10. Los datos salen de productos.json: Cardenal $28.400, Carpintero $34.900, Tucán sin stock y envío $5.900.</w:t>
      </w:r>
    </w:p>
    <w:p>
      <w:pPr>
        <w:pStyle w:val="ListBullet"/>
        <w:spacing w:after="60"/>
      </w:pPr>
      <w:r>
        <w:rPr>
          <w:b/>
        </w:rPr>
        <w:t xml:space="preserve">Ejecución. </w:t>
      </w:r>
      <w:r>
        <w:t>Después de cada cambio en el HTML, el CSS o el JavaScript, con el comando «node pruebas/responsive.mjs http://127.0.0.1:8765/ pruebas/salida».</w:t>
      </w:r>
    </w:p>
    <w:p>
      <w:pPr>
        <w:pStyle w:val="Heading1"/>
      </w:pPr>
      <w:r>
        <w:t>3. Casos de prueba</w:t>
      </w:r>
    </w:p>
    <w:p>
      <w:pPr>
        <w:pStyle w:val="Heading2"/>
      </w:pPr>
      <w:r>
        <w:t>3.1. Catálogo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1368"/>
        <w:gridCol w:w="1800"/>
        <w:gridCol w:w="2520"/>
        <w:gridCol w:w="1152"/>
        <w:gridCol w:w="864"/>
        <w:gridCol w:w="936"/>
      </w:tblGrid>
      <w:tr>
        <w:tc>
          <w:tcPr>
            <w:tcW w:type="dxa" w:w="720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368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Caso</w:t>
            </w:r>
          </w:p>
        </w:tc>
        <w:tc>
          <w:tcPr>
            <w:tcW w:type="dxa" w:w="1800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Pasos y datos</w:t>
            </w:r>
          </w:p>
        </w:tc>
        <w:tc>
          <w:tcPr>
            <w:tcW w:type="dxa" w:w="2520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1152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Regla / cláusula</w:t>
            </w:r>
          </w:p>
        </w:tc>
        <w:tc>
          <w:tcPr>
            <w:tcW w:type="dxa" w:w="864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936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Resultado al 22/10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b/>
                <w:sz w:val="18"/>
              </w:rPr>
              <w:t>CP-01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 w:val="0"/>
                <w:sz w:val="18"/>
              </w:rPr>
              <w:t>Carga asincrónica del catálogo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18"/>
              </w:rPr>
              <w:t>Abrir index.html servido por HTTP.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  <w:sz w:val="18"/>
              </w:rPr>
              <w:t>Se generan 12 tarjetas desde productos.json. El estado dice «Mostrando 12 de 12 piezas».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8"/>
              </w:rPr>
              <w:t>Tarea 3.1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b w:val="0"/>
                <w:sz w:val="18"/>
              </w:rPr>
              <w:t>Automática</w:t>
            </w:r>
          </w:p>
        </w:tc>
        <w:tc>
          <w:tcPr>
            <w:tcW w:type="dxa" w:w="936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8"/>
              </w:rPr>
              <w:t>Cumple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b/>
                <w:sz w:val="18"/>
              </w:rPr>
              <w:t>CP-02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 w:val="0"/>
                <w:sz w:val="18"/>
              </w:rPr>
              <w:t>Diseños nuevos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18"/>
              </w:rPr>
              <w:t>Abrir la página de inicio.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  <w:sz w:val="18"/>
              </w:rPr>
              <w:t>Se muestran las 4 piezas con stock de id más alto: Garza blanca, Zorzal, Lechucita vizcachera y Picaflor.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8"/>
              </w:rPr>
              <w:t>Tarea 3.1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b w:val="0"/>
                <w:sz w:val="18"/>
              </w:rPr>
              <w:t>Automática</w:t>
            </w:r>
          </w:p>
        </w:tc>
        <w:tc>
          <w:tcPr>
            <w:tcW w:type="dxa" w:w="936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8"/>
              </w:rPr>
              <w:t>Cumple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b/>
                <w:sz w:val="18"/>
              </w:rPr>
              <w:t>CP-03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 w:val="0"/>
                <w:sz w:val="18"/>
              </w:rPr>
              <w:t>Pieza sin stock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18"/>
              </w:rPr>
              <w:t>Buscar la tarjeta del Tucán (stock: false).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  <w:sz w:val="18"/>
              </w:rPr>
              <w:t>El botón dice «Sin stock», está deshabilitado y la pieza no se puede agregar.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8"/>
              </w:rPr>
              <w:t>Cláusula 4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b w:val="0"/>
                <w:sz w:val="18"/>
              </w:rPr>
              <w:t>Automática</w:t>
            </w:r>
          </w:p>
        </w:tc>
        <w:tc>
          <w:tcPr>
            <w:tcW w:type="dxa" w:w="936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8"/>
              </w:rPr>
              <w:t>Cumple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b/>
                <w:sz w:val="18"/>
              </w:rPr>
              <w:t>CP-04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 w:val="0"/>
                <w:sz w:val="18"/>
              </w:rPr>
              <w:t>Sello de IA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18"/>
              </w:rPr>
              <w:t>Revisar todas las tarjetas.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  <w:sz w:val="18"/>
              </w:rPr>
              <w:t>Las 12 tarjetas llevan el sello «Imagen con IA».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8"/>
              </w:rPr>
              <w:t>Cláusula 4; Declaración Ética de IA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b w:val="0"/>
                <w:sz w:val="18"/>
              </w:rPr>
              <w:t>Automática</w:t>
            </w:r>
          </w:p>
        </w:tc>
        <w:tc>
          <w:tcPr>
            <w:tcW w:type="dxa" w:w="936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8"/>
              </w:rPr>
              <w:t>Cumple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b/>
                <w:sz w:val="18"/>
              </w:rPr>
              <w:t>CP-05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 w:val="0"/>
                <w:sz w:val="18"/>
              </w:rPr>
              <w:t>Filtro por madera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18"/>
              </w:rPr>
              <w:t>Elegir el chip «Palo santo».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  <w:sz w:val="18"/>
              </w:rPr>
              <w:t>4 piezas: Cardenal, Chuña, Calandria y Tucán.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8"/>
              </w:rPr>
              <w:t>Regla de negocio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b w:val="0"/>
                <w:sz w:val="18"/>
              </w:rPr>
              <w:t>Automática</w:t>
            </w:r>
          </w:p>
        </w:tc>
        <w:tc>
          <w:tcPr>
            <w:tcW w:type="dxa" w:w="936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8"/>
              </w:rPr>
              <w:t>Cumple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b/>
                <w:sz w:val="18"/>
              </w:rPr>
              <w:t>CP-06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 w:val="0"/>
                <w:sz w:val="18"/>
              </w:rPr>
              <w:t>Filtro por precio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18"/>
              </w:rPr>
              <w:t>Elegir el chip «Hasta $25.000».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  <w:sz w:val="18"/>
              </w:rPr>
              <w:t>7 piezas, todas de $25.000 o menos.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8"/>
              </w:rPr>
              <w:t>Regla de negocio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b w:val="0"/>
                <w:sz w:val="18"/>
              </w:rPr>
              <w:t>Automática</w:t>
            </w:r>
          </w:p>
        </w:tc>
        <w:tc>
          <w:tcPr>
            <w:tcW w:type="dxa" w:w="936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8"/>
              </w:rPr>
              <w:t>Cumple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b/>
                <w:sz w:val="18"/>
              </w:rPr>
              <w:t>CP-07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 w:val="0"/>
                <w:sz w:val="18"/>
              </w:rPr>
              <w:t>Búsqueda sin tildes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18"/>
              </w:rPr>
              <w:t>Escribir «chuna» en el buscador.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  <w:sz w:val="18"/>
              </w:rPr>
              <w:t>Aparece la Chuña.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8"/>
              </w:rPr>
              <w:t>Usabilidad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b w:val="0"/>
                <w:sz w:val="18"/>
              </w:rPr>
              <w:t>Automática</w:t>
            </w:r>
          </w:p>
        </w:tc>
        <w:tc>
          <w:tcPr>
            <w:tcW w:type="dxa" w:w="936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8"/>
              </w:rPr>
              <w:t>Cumple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b/>
                <w:sz w:val="18"/>
              </w:rPr>
              <w:t>CP-08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 w:val="0"/>
                <w:sz w:val="18"/>
              </w:rPr>
              <w:t>Búsqueda por madera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18"/>
              </w:rPr>
              <w:t>Escribir «quebracho».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  <w:sz w:val="18"/>
              </w:rPr>
              <w:t>4 piezas de quebracho.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8"/>
              </w:rPr>
              <w:t>Usabilidad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b w:val="0"/>
                <w:sz w:val="18"/>
              </w:rPr>
              <w:t>Automática</w:t>
            </w:r>
          </w:p>
        </w:tc>
        <w:tc>
          <w:tcPr>
            <w:tcW w:type="dxa" w:w="936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8"/>
              </w:rPr>
              <w:t>Cumple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b/>
                <w:sz w:val="18"/>
              </w:rPr>
              <w:t>CP-09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 w:val="0"/>
                <w:sz w:val="18"/>
              </w:rPr>
              <w:t>Búsqueda sin resultados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18"/>
              </w:rPr>
              <w:t>Escribir «pingüino».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  <w:sz w:val="18"/>
              </w:rPr>
              <w:t>Ninguna tarjeta y el mensaje «No hay piezas que coincidan con «pingüino».»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8"/>
              </w:rPr>
              <w:t>Usabilidad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b w:val="0"/>
                <w:sz w:val="18"/>
              </w:rPr>
              <w:t>Automática</w:t>
            </w:r>
          </w:p>
        </w:tc>
        <w:tc>
          <w:tcPr>
            <w:tcW w:type="dxa" w:w="936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8"/>
              </w:rPr>
              <w:t>Cumple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b/>
                <w:sz w:val="18"/>
              </w:rPr>
              <w:t>CP-10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 w:val="0"/>
                <w:sz w:val="18"/>
              </w:rPr>
              <w:t>Falla de carga del catálogo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18"/>
              </w:rPr>
              <w:t>Bloquear la petición de productos.json y recargar.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  <w:sz w:val="18"/>
              </w:rPr>
              <w:t>Mensaje «No pudimos cargar el catálogo…» marcado como error. La grilla no queda en estado de carga.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8"/>
              </w:rPr>
              <w:t>Riesgo R11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b w:val="0"/>
                <w:sz w:val="18"/>
              </w:rPr>
              <w:t>Automática</w:t>
            </w:r>
          </w:p>
        </w:tc>
        <w:tc>
          <w:tcPr>
            <w:tcW w:type="dxa" w:w="936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8"/>
              </w:rPr>
              <w:t>Cumple</w:t>
            </w:r>
          </w:p>
        </w:tc>
      </w:tr>
    </w:tbl>
    <w:p/>
    <w:p>
      <w:pPr>
        <w:pStyle w:val="Heading2"/>
      </w:pPr>
      <w:r>
        <w:t>3.2. Carrito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1368"/>
        <w:gridCol w:w="1800"/>
        <w:gridCol w:w="2520"/>
        <w:gridCol w:w="1152"/>
        <w:gridCol w:w="864"/>
        <w:gridCol w:w="936"/>
      </w:tblGrid>
      <w:tr>
        <w:tc>
          <w:tcPr>
            <w:tcW w:type="dxa" w:w="720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368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Caso</w:t>
            </w:r>
          </w:p>
        </w:tc>
        <w:tc>
          <w:tcPr>
            <w:tcW w:type="dxa" w:w="1800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Pasos y datos</w:t>
            </w:r>
          </w:p>
        </w:tc>
        <w:tc>
          <w:tcPr>
            <w:tcW w:type="dxa" w:w="2520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1152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Regla / cláusula</w:t>
            </w:r>
          </w:p>
        </w:tc>
        <w:tc>
          <w:tcPr>
            <w:tcW w:type="dxa" w:w="864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936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Resultado al 22/10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b/>
                <w:sz w:val="18"/>
              </w:rPr>
              <w:t>CP-11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 w:val="0"/>
                <w:sz w:val="18"/>
              </w:rPr>
              <w:t>Agregar piezas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18"/>
              </w:rPr>
              <w:t>Agregar Cardenal ($28.400) y Carpintero ($34.900).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  <w:sz w:val="18"/>
              </w:rPr>
              <w:t>2 filas, contador 2, subtotal $63.300, envío $5.900 y total $69.200, igual en el carrito y en el checkout.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8"/>
              </w:rPr>
              <w:t>Tarea 3.2; cláusulas 5 y 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b w:val="0"/>
                <w:sz w:val="18"/>
              </w:rPr>
              <w:t>Automática</w:t>
            </w:r>
          </w:p>
        </w:tc>
        <w:tc>
          <w:tcPr>
            <w:tcW w:type="dxa" w:w="936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8"/>
              </w:rPr>
              <w:t>Cumple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b/>
                <w:sz w:val="18"/>
              </w:rPr>
              <w:t>CP-12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 w:val="0"/>
                <w:sz w:val="18"/>
              </w:rPr>
              <w:t>Agregar una pieza repetida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18"/>
              </w:rPr>
              <w:t>Agregar otra vez el Cardenal.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  <w:sz w:val="18"/>
              </w:rPr>
              <w:t>La fila pasa a cantidad 2 (no se duplica). Contador 3, total $97.600.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8"/>
              </w:rPr>
              <w:t>Tarea 3.2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b w:val="0"/>
                <w:sz w:val="18"/>
              </w:rPr>
              <w:t>Automática</w:t>
            </w:r>
          </w:p>
        </w:tc>
        <w:tc>
          <w:tcPr>
            <w:tcW w:type="dxa" w:w="936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8"/>
              </w:rPr>
              <w:t>Cumple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b/>
                <w:sz w:val="18"/>
              </w:rPr>
              <w:t>CP-13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 w:val="0"/>
                <w:sz w:val="18"/>
              </w:rPr>
              <w:t>Cambiar la cantidad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18"/>
              </w:rPr>
              <w:t>Escribir 3 en la cantidad del Cardenal.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  <w:sz w:val="18"/>
              </w:rPr>
              <w:t>Total $126.000 en el carrito y en el checkout, al instante.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8"/>
              </w:rPr>
              <w:t>Tarea 3.2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b w:val="0"/>
                <w:sz w:val="18"/>
              </w:rPr>
              <w:t>Automática</w:t>
            </w:r>
          </w:p>
        </w:tc>
        <w:tc>
          <w:tcPr>
            <w:tcW w:type="dxa" w:w="936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8"/>
              </w:rPr>
              <w:t>Cumple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b/>
                <w:sz w:val="18"/>
              </w:rPr>
              <w:t>CP-14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 w:val="0"/>
                <w:sz w:val="18"/>
              </w:rPr>
              <w:t>Cantidad fuera de rango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18"/>
              </w:rPr>
              <w:t>Escribir 25 en la cantidad.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  <w:sz w:val="18"/>
              </w:rPr>
              <w:t>Se corrige a 10, el tope por pieza.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8"/>
              </w:rPr>
              <w:t>Cláusula 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b w:val="0"/>
                <w:sz w:val="18"/>
              </w:rPr>
              <w:t>Automática</w:t>
            </w:r>
          </w:p>
        </w:tc>
        <w:tc>
          <w:tcPr>
            <w:tcW w:type="dxa" w:w="936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8"/>
              </w:rPr>
              <w:t>Cumple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b/>
                <w:sz w:val="18"/>
              </w:rPr>
              <w:t>CP-15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 w:val="0"/>
                <w:sz w:val="18"/>
              </w:rPr>
              <w:t>Quitar una pieza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18"/>
              </w:rPr>
              <w:t>Presionar «Quitar» en el Carpintero.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  <w:sz w:val="18"/>
              </w:rPr>
              <w:t>Queda 1 fila, total $34.300, y el foco pasa al título del carrito.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8"/>
              </w:rPr>
              <w:t>Tarea 3.2; accesibilidad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b w:val="0"/>
                <w:sz w:val="18"/>
              </w:rPr>
              <w:t>Automática</w:t>
            </w:r>
          </w:p>
        </w:tc>
        <w:tc>
          <w:tcPr>
            <w:tcW w:type="dxa" w:w="936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8"/>
              </w:rPr>
              <w:t>Cumple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b/>
                <w:sz w:val="18"/>
              </w:rPr>
              <w:t>CP-16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 w:val="0"/>
                <w:sz w:val="18"/>
              </w:rPr>
              <w:t>Carrito vacío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18"/>
              </w:rPr>
              <w:t>Quitar todas las piezas.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  <w:sz w:val="18"/>
              </w:rPr>
              <w:t>Se oculta la tabla, se muestra «Tu carrito está vacío», el contador se oculta y el envío pasa a $0.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8"/>
              </w:rPr>
              <w:t>Cláusula 8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b w:val="0"/>
                <w:sz w:val="18"/>
              </w:rPr>
              <w:t>Automática</w:t>
            </w:r>
          </w:p>
        </w:tc>
        <w:tc>
          <w:tcPr>
            <w:tcW w:type="dxa" w:w="936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8"/>
              </w:rPr>
              <w:t>Cumple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b/>
                <w:sz w:val="18"/>
              </w:rPr>
              <w:t>CP-17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 w:val="0"/>
                <w:sz w:val="18"/>
              </w:rPr>
              <w:t>Aviso para lectores de pantalla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18"/>
              </w:rPr>
              <w:t>Agregar el Cardenal.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  <w:sz w:val="18"/>
              </w:rPr>
              <w:t>La región de estado anuncia «Agregaste Cardenal al carrito.»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8"/>
              </w:rPr>
              <w:t>Accesibilidad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b w:val="0"/>
                <w:sz w:val="18"/>
              </w:rPr>
              <w:t>Automática</w:t>
            </w:r>
          </w:p>
        </w:tc>
        <w:tc>
          <w:tcPr>
            <w:tcW w:type="dxa" w:w="936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8"/>
              </w:rPr>
              <w:t>Cumple</w:t>
            </w:r>
          </w:p>
        </w:tc>
      </w:tr>
    </w:tbl>
    <w:p/>
    <w:p>
      <w:pPr>
        <w:pStyle w:val="Heading2"/>
      </w:pPr>
      <w:r>
        <w:t>3.3. Checkout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1368"/>
        <w:gridCol w:w="1800"/>
        <w:gridCol w:w="2520"/>
        <w:gridCol w:w="1152"/>
        <w:gridCol w:w="864"/>
        <w:gridCol w:w="936"/>
      </w:tblGrid>
      <w:tr>
        <w:tc>
          <w:tcPr>
            <w:tcW w:type="dxa" w:w="720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368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Caso</w:t>
            </w:r>
          </w:p>
        </w:tc>
        <w:tc>
          <w:tcPr>
            <w:tcW w:type="dxa" w:w="1800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Pasos y datos</w:t>
            </w:r>
          </w:p>
        </w:tc>
        <w:tc>
          <w:tcPr>
            <w:tcW w:type="dxa" w:w="2520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1152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Regla / cláusula</w:t>
            </w:r>
          </w:p>
        </w:tc>
        <w:tc>
          <w:tcPr>
            <w:tcW w:type="dxa" w:w="864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936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Resultado al 22/10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b/>
                <w:sz w:val="18"/>
              </w:rPr>
              <w:t>CP-18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 w:val="0"/>
                <w:sz w:val="18"/>
              </w:rPr>
              <w:t>Formulario vacío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18"/>
              </w:rPr>
              <w:t>Presionar «Ir al pago» sin completar nada.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  <w:sz w:val="18"/>
              </w:rPr>
              <w:t>No se confirma. Quedan marcados como inválidos nombre, correo, dirección, localidad, código postal, términos y consentimiento.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8"/>
              </w:rPr>
              <w:t>Tarea 3.2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b w:val="0"/>
                <w:sz w:val="18"/>
              </w:rPr>
              <w:t>Automática</w:t>
            </w:r>
          </w:p>
        </w:tc>
        <w:tc>
          <w:tcPr>
            <w:tcW w:type="dxa" w:w="936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8"/>
              </w:rPr>
              <w:t>Cumple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b/>
                <w:sz w:val="18"/>
              </w:rPr>
              <w:t>CP-19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 w:val="0"/>
                <w:sz w:val="18"/>
              </w:rPr>
              <w:t>Datos inconsistentes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18"/>
              </w:rPr>
              <w:t>Nombre «Ana», correo «ana@correo», teléfono «12-34», CP «35000».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  <w:sz w:val="18"/>
              </w:rPr>
              <w:t>No se confirma y cada campo muestra su propio mensaje (nombre y apellido, dominio del correo, 8 a 15 números, CP de 4 números).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8"/>
              </w:rPr>
              <w:t>Tarea 3.2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b w:val="0"/>
                <w:sz w:val="18"/>
              </w:rPr>
              <w:t>Automática</w:t>
            </w:r>
          </w:p>
        </w:tc>
        <w:tc>
          <w:tcPr>
            <w:tcW w:type="dxa" w:w="936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8"/>
              </w:rPr>
              <w:t>Cumple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b/>
                <w:sz w:val="18"/>
              </w:rPr>
              <w:t>CP-20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 w:val="0"/>
                <w:sz w:val="18"/>
              </w:rPr>
              <w:t>Código postal inválido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18"/>
              </w:rPr>
              <w:t>Corregir todo menos el CP.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  <w:sz w:val="18"/>
              </w:rPr>
              <w:t>No se confirma.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8"/>
              </w:rPr>
              <w:t>Tarea 3.2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b w:val="0"/>
                <w:sz w:val="18"/>
              </w:rPr>
              <w:t>Automática</w:t>
            </w:r>
          </w:p>
        </w:tc>
        <w:tc>
          <w:tcPr>
            <w:tcW w:type="dxa" w:w="936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8"/>
              </w:rPr>
              <w:t>Cumple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b/>
                <w:sz w:val="18"/>
              </w:rPr>
              <w:t>CP-21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 w:val="0"/>
                <w:sz w:val="18"/>
              </w:rPr>
              <w:t>Compra válida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18"/>
              </w:rPr>
              <w:t>Datos correctos, términos y consentimiento aceptados.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  <w:sz w:val="18"/>
              </w:rPr>
              <w:t>Confirmación con número WB-XXXXXX, piezas, total y recordatorio del arrepentimiento. Formulario y carrito vacíos.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8"/>
              </w:rPr>
              <w:t>Cláusulas 6 y 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b w:val="0"/>
                <w:sz w:val="18"/>
              </w:rPr>
              <w:t>Automática</w:t>
            </w:r>
          </w:p>
        </w:tc>
        <w:tc>
          <w:tcPr>
            <w:tcW w:type="dxa" w:w="936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8"/>
              </w:rPr>
              <w:t>Cumple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b/>
                <w:sz w:val="18"/>
              </w:rPr>
              <w:t>CP-22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 w:val="0"/>
                <w:sz w:val="18"/>
              </w:rPr>
              <w:t>Carrito vacío con formulario completo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18"/>
              </w:rPr>
              <w:t>Completar todo con el carrito vacío.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  <w:sz w:val="18"/>
              </w:rPr>
              <w:t>No se confirma y aparece el mensaje «Tu carrito está vacío…»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8"/>
              </w:rPr>
              <w:t>Cláusula 6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b w:val="0"/>
                <w:sz w:val="18"/>
              </w:rPr>
              <w:t>Automática</w:t>
            </w:r>
          </w:p>
        </w:tc>
        <w:tc>
          <w:tcPr>
            <w:tcW w:type="dxa" w:w="936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8"/>
              </w:rPr>
              <w:t>Cumple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b/>
                <w:sz w:val="18"/>
              </w:rPr>
              <w:t>CP-23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 w:val="0"/>
                <w:sz w:val="18"/>
              </w:rPr>
              <w:t>Aceptación de los términos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18"/>
              </w:rPr>
              <w:t>Dejar sin marcar la casilla de términos.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  <w:sz w:val="18"/>
              </w:rPr>
              <w:t>No se confirma: la casilla es obligatoria.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8"/>
              </w:rPr>
              <w:t>Cláusula 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b w:val="0"/>
                <w:sz w:val="18"/>
              </w:rPr>
              <w:t>Automática</w:t>
            </w:r>
          </w:p>
        </w:tc>
        <w:tc>
          <w:tcPr>
            <w:tcW w:type="dxa" w:w="936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8"/>
              </w:rPr>
              <w:t>Cumple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b/>
                <w:sz w:val="18"/>
              </w:rPr>
              <w:t>CP-24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 w:val="0"/>
                <w:sz w:val="18"/>
              </w:rPr>
              <w:t>Datos sin salir del navegador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18"/>
              </w:rPr>
              <w:t>Registrar las peticiones de red durante la compra.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  <w:sz w:val="18"/>
              </w:rPr>
              <w:t>Cero peticiones.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8"/>
              </w:rPr>
              <w:t>Ley 25.326; cláusula 13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b w:val="0"/>
                <w:sz w:val="18"/>
              </w:rPr>
              <w:t>Automática</w:t>
            </w:r>
          </w:p>
        </w:tc>
        <w:tc>
          <w:tcPr>
            <w:tcW w:type="dxa" w:w="936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8"/>
              </w:rPr>
              <w:t>Cumple</w:t>
            </w:r>
          </w:p>
        </w:tc>
      </w:tr>
    </w:tbl>
    <w:p/>
    <w:p>
      <w:pPr>
        <w:pStyle w:val="Heading2"/>
      </w:pPr>
      <w:r>
        <w:t>3.4. Navegación adaptable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1368"/>
        <w:gridCol w:w="1800"/>
        <w:gridCol w:w="2520"/>
        <w:gridCol w:w="1152"/>
        <w:gridCol w:w="864"/>
        <w:gridCol w:w="936"/>
      </w:tblGrid>
      <w:tr>
        <w:tc>
          <w:tcPr>
            <w:tcW w:type="dxa" w:w="720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368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Caso</w:t>
            </w:r>
          </w:p>
        </w:tc>
        <w:tc>
          <w:tcPr>
            <w:tcW w:type="dxa" w:w="1800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Pasos y datos</w:t>
            </w:r>
          </w:p>
        </w:tc>
        <w:tc>
          <w:tcPr>
            <w:tcW w:type="dxa" w:w="2520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1152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Regla / cláusula</w:t>
            </w:r>
          </w:p>
        </w:tc>
        <w:tc>
          <w:tcPr>
            <w:tcW w:type="dxa" w:w="864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936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Resultado al 22/10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b/>
                <w:sz w:val="18"/>
              </w:rPr>
              <w:t>CP-25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 w:val="0"/>
                <w:sz w:val="18"/>
              </w:rPr>
              <w:t>Sin desborde horizontal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18"/>
              </w:rPr>
              <w:t>3 páginas × 11 anchos, de 320 a 1920 px.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  <w:sz w:val="18"/>
              </w:rPr>
              <w:t>Ningún desborde en las 33 combinaciones.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8"/>
              </w:rPr>
              <w:t>WCAG 1.4.10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b w:val="0"/>
                <w:sz w:val="18"/>
              </w:rPr>
              <w:t>Automática</w:t>
            </w:r>
          </w:p>
        </w:tc>
        <w:tc>
          <w:tcPr>
            <w:tcW w:type="dxa" w:w="936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8"/>
              </w:rPr>
              <w:t>Cumple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b/>
                <w:sz w:val="18"/>
              </w:rPr>
              <w:t>CP-26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 w:val="0"/>
                <w:sz w:val="18"/>
              </w:rPr>
              <w:t>Objetivos táctiles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18"/>
              </w:rPr>
              <w:t>Medir botones, enlaces y campos.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  <w:sz w:val="18"/>
              </w:rPr>
              <w:t>Todos miden al menos 44 px de alto.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8"/>
              </w:rPr>
              <w:t>WCAG 2.5.5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b w:val="0"/>
                <w:sz w:val="18"/>
              </w:rPr>
              <w:t>Automática</w:t>
            </w:r>
          </w:p>
        </w:tc>
        <w:tc>
          <w:tcPr>
            <w:tcW w:type="dxa" w:w="936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8"/>
              </w:rPr>
              <w:t>Cumple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b/>
                <w:sz w:val="18"/>
              </w:rPr>
              <w:t>CP-27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 w:val="0"/>
                <w:sz w:val="18"/>
              </w:rPr>
              <w:t>Contraste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18"/>
              </w:rPr>
              <w:t>Medir cada par de texto y fondo.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  <w:sz w:val="18"/>
              </w:rPr>
              <w:t>Todos cumplen WCAG AA.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8"/>
              </w:rPr>
              <w:t>WCAG 1.4.3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b w:val="0"/>
                <w:sz w:val="18"/>
              </w:rPr>
              <w:t>Automática</w:t>
            </w:r>
          </w:p>
        </w:tc>
        <w:tc>
          <w:tcPr>
            <w:tcW w:type="dxa" w:w="936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8"/>
              </w:rPr>
              <w:t>Cumple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b/>
                <w:sz w:val="18"/>
              </w:rPr>
              <w:t>CP-28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 w:val="0"/>
                <w:sz w:val="18"/>
              </w:rPr>
              <w:t>Navegación por anclas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18"/>
              </w:rPr>
              <w:t>Usar cada enlace de la barra y de los índices.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  <w:sz w:val="18"/>
              </w:rPr>
              <w:t>El título de destino queda visible y no lo tapa la barra fija.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8"/>
              </w:rPr>
              <w:t>Usabilidad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b w:val="0"/>
                <w:sz w:val="18"/>
              </w:rPr>
              <w:t>Automática</w:t>
            </w:r>
          </w:p>
        </w:tc>
        <w:tc>
          <w:tcPr>
            <w:tcW w:type="dxa" w:w="936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8"/>
              </w:rPr>
              <w:t>Cumple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b/>
                <w:sz w:val="18"/>
              </w:rPr>
              <w:t>CP-29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 w:val="0"/>
                <w:sz w:val="18"/>
              </w:rPr>
              <w:t>Disposición del carrito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18"/>
              </w:rPr>
              <w:t>Comparar los anchos.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  <w:sz w:val="18"/>
              </w:rPr>
              <w:t>Renglones apilados por debajo de 600 px, tabla desde 600 px, carrito y checkout lado a lado desde 960 px.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8"/>
              </w:rPr>
              <w:t>Diseño responsive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b w:val="0"/>
                <w:sz w:val="18"/>
              </w:rPr>
              <w:t>Automática</w:t>
            </w:r>
          </w:p>
        </w:tc>
        <w:tc>
          <w:tcPr>
            <w:tcW w:type="dxa" w:w="936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8"/>
              </w:rPr>
              <w:t>Cumple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b/>
                <w:sz w:val="18"/>
              </w:rPr>
              <w:t>CP-30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 w:val="0"/>
                <w:sz w:val="18"/>
              </w:rPr>
              <w:t>Pie visible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18"/>
              </w:rPr>
              <w:t>Bajar hasta el final en móvil.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  <w:sz w:val="18"/>
              </w:rPr>
              <w:t>La barra inferior fija no tapa el pie.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8"/>
              </w:rPr>
              <w:t>Usabilidad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b w:val="0"/>
                <w:sz w:val="18"/>
              </w:rPr>
              <w:t>Automática</w:t>
            </w:r>
          </w:p>
        </w:tc>
        <w:tc>
          <w:tcPr>
            <w:tcW w:type="dxa" w:w="936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8"/>
              </w:rPr>
              <w:t>Cumple</w:t>
            </w:r>
          </w:p>
        </w:tc>
      </w:tr>
    </w:tbl>
    <w:p/>
    <w:p>
      <w:pPr>
        <w:pStyle w:val="Heading2"/>
      </w:pPr>
      <w:r>
        <w:t>3.5. Reglas legales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1368"/>
        <w:gridCol w:w="1800"/>
        <w:gridCol w:w="2520"/>
        <w:gridCol w:w="1152"/>
        <w:gridCol w:w="864"/>
        <w:gridCol w:w="936"/>
      </w:tblGrid>
      <w:tr>
        <w:tc>
          <w:tcPr>
            <w:tcW w:type="dxa" w:w="720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368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Caso</w:t>
            </w:r>
          </w:p>
        </w:tc>
        <w:tc>
          <w:tcPr>
            <w:tcW w:type="dxa" w:w="1800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Pasos y datos</w:t>
            </w:r>
          </w:p>
        </w:tc>
        <w:tc>
          <w:tcPr>
            <w:tcW w:type="dxa" w:w="2520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1152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Regla / cláusula</w:t>
            </w:r>
          </w:p>
        </w:tc>
        <w:tc>
          <w:tcPr>
            <w:tcW w:type="dxa" w:w="864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936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Resultado al 22/10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b/>
                <w:sz w:val="18"/>
              </w:rPr>
              <w:t>CP-31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 w:val="0"/>
                <w:sz w:val="18"/>
              </w:rPr>
              <w:t>Botón de arrepentimiento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18"/>
              </w:rPr>
              <w:t>Abrir cada página en cada ancho, sin desplazarse.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  <w:sz w:val="18"/>
              </w:rPr>
              <w:t>El enlace «Botón de arrepentimiento» se ve en la primera pantalla en las 33 combinaciones.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8"/>
              </w:rPr>
              <w:t>Res. SCI 424/2020; cláusula 9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b w:val="0"/>
                <w:sz w:val="18"/>
              </w:rPr>
              <w:t>Automática</w:t>
            </w:r>
          </w:p>
        </w:tc>
        <w:tc>
          <w:tcPr>
            <w:tcW w:type="dxa" w:w="936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8"/>
              </w:rPr>
              <w:t>Cumple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b/>
                <w:sz w:val="18"/>
              </w:rPr>
              <w:t>CP-32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 w:val="0"/>
                <w:sz w:val="18"/>
              </w:rPr>
              <w:t>Correo de arrepentimiento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18"/>
              </w:rPr>
              <w:t>Presionar «Solicitar el arrepentimiento por correo».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  <w:sz w:val="18"/>
              </w:rPr>
              <w:t>Se abre el cliente de correo con destinatario y asunto completos. Se verificó en forma automática que el enlace lleva asunto; falta abrirlo en un cliente real.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8"/>
              </w:rPr>
              <w:t>Res. SCI 424/2020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b w:val="0"/>
                <w:sz w:val="18"/>
              </w:rPr>
              <w:t>Manual</w:t>
            </w:r>
          </w:p>
        </w:tc>
        <w:tc>
          <w:tcPr>
            <w:tcW w:type="dxa" w:w="936"/>
            <w:shd w:val="clear" w:color="auto" w:fill="FCE8B2"/>
          </w:tcPr>
          <w:p>
            <w:pPr>
              <w:spacing w:after="0"/>
            </w:pPr>
            <w:r>
              <w:rPr>
                <w:b w:val="0"/>
                <w:sz w:val="18"/>
              </w:rPr>
              <w:t>Pendiente (Sprint 4)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b/>
                <w:sz w:val="18"/>
              </w:rPr>
              <w:t>CP-33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 w:val="0"/>
                <w:sz w:val="18"/>
              </w:rPr>
              <w:t>Enlaces legales del pie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18"/>
              </w:rPr>
              <w:t>Revisar el pie de las 3 páginas.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  <w:sz w:val="18"/>
              </w:rPr>
              <w:t>Política de privacidad, Términos y condiciones y «Defensa de las y los Consumidores. Para reclamos ingrese aquí».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8"/>
              </w:rPr>
              <w:t>Res. SCI 274/2021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b w:val="0"/>
                <w:sz w:val="18"/>
              </w:rPr>
              <w:t>Automática</w:t>
            </w:r>
          </w:p>
        </w:tc>
        <w:tc>
          <w:tcPr>
            <w:tcW w:type="dxa" w:w="936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8"/>
              </w:rPr>
              <w:t>Cumple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b/>
                <w:sz w:val="18"/>
              </w:rPr>
              <w:t>CP-34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 w:val="0"/>
                <w:sz w:val="18"/>
              </w:rPr>
              <w:t>Aviso de arrepentimiento antes de pagar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18"/>
              </w:rPr>
              <w:t>Revisar el checkout.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  <w:sz w:val="18"/>
              </w:rPr>
              <w:t>El aviso de 10 días, con enlace a la cláusula 9, aparece antes del botón «Ir al pago».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8"/>
              </w:rPr>
              <w:t>Ley 24.240, art. 34; CCyC, art. 1111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b w:val="0"/>
                <w:sz w:val="18"/>
              </w:rPr>
              <w:t>Automática</w:t>
            </w:r>
          </w:p>
        </w:tc>
        <w:tc>
          <w:tcPr>
            <w:tcW w:type="dxa" w:w="936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8"/>
              </w:rPr>
              <w:t>Cumple</w:t>
            </w:r>
          </w:p>
        </w:tc>
      </w:tr>
    </w:tbl>
    <w:p/>
    <w:p>
      <w:pPr>
        <w:pStyle w:val="Heading2"/>
      </w:pPr>
      <w:r>
        <w:t>3.6. Pruebas manuales previas al lanzamiento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1368"/>
        <w:gridCol w:w="1800"/>
        <w:gridCol w:w="2520"/>
        <w:gridCol w:w="1152"/>
        <w:gridCol w:w="864"/>
        <w:gridCol w:w="936"/>
      </w:tblGrid>
      <w:tr>
        <w:tc>
          <w:tcPr>
            <w:tcW w:type="dxa" w:w="720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368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Caso</w:t>
            </w:r>
          </w:p>
        </w:tc>
        <w:tc>
          <w:tcPr>
            <w:tcW w:type="dxa" w:w="1800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Pasos y datos</w:t>
            </w:r>
          </w:p>
        </w:tc>
        <w:tc>
          <w:tcPr>
            <w:tcW w:type="dxa" w:w="2520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1152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Regla / cláusula</w:t>
            </w:r>
          </w:p>
        </w:tc>
        <w:tc>
          <w:tcPr>
            <w:tcW w:type="dxa" w:w="864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936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Resultado al 22/10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b/>
                <w:sz w:val="18"/>
              </w:rPr>
              <w:t>CP-35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 w:val="0"/>
                <w:sz w:val="18"/>
              </w:rPr>
              <w:t>Recorrido con teclado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18"/>
              </w:rPr>
              <w:t>Comprar usando sólo Tab, Enter y la barra espaciadora.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  <w:sz w:val="18"/>
              </w:rPr>
              <w:t>Todo es alcanzable, el foco siempre es visible y no hay trampas de foco.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8"/>
              </w:rPr>
              <w:t>WCAG 2.1.1 y 2.4.7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b w:val="0"/>
                <w:sz w:val="18"/>
              </w:rPr>
              <w:t>Manual</w:t>
            </w:r>
          </w:p>
        </w:tc>
        <w:tc>
          <w:tcPr>
            <w:tcW w:type="dxa" w:w="936"/>
            <w:shd w:val="clear" w:color="auto" w:fill="FCE8B2"/>
          </w:tcPr>
          <w:p>
            <w:pPr>
              <w:spacing w:after="0"/>
            </w:pPr>
            <w:r>
              <w:rPr>
                <w:b w:val="0"/>
                <w:sz w:val="18"/>
              </w:rPr>
              <w:t>Pendiente (Sprint 4)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b/>
                <w:sz w:val="18"/>
              </w:rPr>
              <w:t>CP-36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 w:val="0"/>
                <w:sz w:val="18"/>
              </w:rPr>
              <w:t>Lector de pantalla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18"/>
              </w:rPr>
              <w:t>Recorrer catálogo, carrito y checkout con NVDA.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  <w:sz w:val="18"/>
              </w:rPr>
              <w:t>Se anuncian los cambios del carrito, los errores y la confirmación.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8"/>
              </w:rPr>
              <w:t>WCAG 4.1.3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b w:val="0"/>
                <w:sz w:val="18"/>
              </w:rPr>
              <w:t>Manual</w:t>
            </w:r>
          </w:p>
        </w:tc>
        <w:tc>
          <w:tcPr>
            <w:tcW w:type="dxa" w:w="936"/>
            <w:shd w:val="clear" w:color="auto" w:fill="FCE8B2"/>
          </w:tcPr>
          <w:p>
            <w:pPr>
              <w:spacing w:after="0"/>
            </w:pPr>
            <w:r>
              <w:rPr>
                <w:b w:val="0"/>
                <w:sz w:val="18"/>
              </w:rPr>
              <w:t>Pendiente (Sprint 4)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b/>
                <w:sz w:val="18"/>
              </w:rPr>
              <w:t>CP-37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 w:val="0"/>
                <w:sz w:val="18"/>
              </w:rPr>
              <w:t>Teléfono real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18"/>
              </w:rPr>
              <w:t>Comprar en el sitio publicado desde un teléfono (Samsung Galaxy A16, Chrome).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  <w:sz w:val="18"/>
              </w:rPr>
              <w:t>Igual comportamiento que en las pruebas automáticas.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8"/>
              </w:rPr>
              <w:t>Riesgo R7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b w:val="0"/>
                <w:sz w:val="18"/>
              </w:rPr>
              <w:t>Manual</w:t>
            </w:r>
          </w:p>
        </w:tc>
        <w:tc>
          <w:tcPr>
            <w:tcW w:type="dxa" w:w="936"/>
            <w:shd w:val="clear" w:color="auto" w:fill="FCE8B2"/>
          </w:tcPr>
          <w:p>
            <w:pPr>
              <w:spacing w:after="0"/>
            </w:pPr>
            <w:r>
              <w:rPr>
                <w:b w:val="0"/>
                <w:sz w:val="18"/>
              </w:rPr>
              <w:t>Pendiente (Sprint 4)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b/>
                <w:sz w:val="18"/>
              </w:rPr>
              <w:t>CP-38</w:t>
            </w:r>
          </w:p>
        </w:tc>
        <w:tc>
          <w:tcPr>
            <w:tcW w:type="dxa" w:w="1368"/>
          </w:tcPr>
          <w:p>
            <w:pPr>
              <w:spacing w:after="0"/>
            </w:pPr>
            <w:r>
              <w:rPr>
                <w:b w:val="0"/>
                <w:sz w:val="18"/>
              </w:rPr>
              <w:t>Otros navegadores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b w:val="0"/>
                <w:sz w:val="18"/>
              </w:rPr>
              <w:t>Repetir CP-01, CP-11 y CP-21 en Firefox y Safari.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b w:val="0"/>
                <w:sz w:val="18"/>
              </w:rPr>
              <w:t>Igual comportamiento.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b w:val="0"/>
                <w:sz w:val="18"/>
              </w:rPr>
              <w:t>Riesgos R7 y R15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b w:val="0"/>
                <w:sz w:val="18"/>
              </w:rPr>
              <w:t>Manual</w:t>
            </w:r>
          </w:p>
        </w:tc>
        <w:tc>
          <w:tcPr>
            <w:tcW w:type="dxa" w:w="936"/>
            <w:shd w:val="clear" w:color="auto" w:fill="FCE8B2"/>
          </w:tcPr>
          <w:p>
            <w:pPr>
              <w:spacing w:after="0"/>
            </w:pPr>
            <w:r>
              <w:rPr>
                <w:b w:val="0"/>
                <w:sz w:val="18"/>
              </w:rPr>
              <w:t>Pendiente (Sprint 4)</w:t>
            </w:r>
          </w:p>
        </w:tc>
      </w:tr>
    </w:tbl>
    <w:p/>
    <w:p>
      <w:pPr>
        <w:pStyle w:val="Heading1"/>
      </w:pPr>
      <w:r>
        <w:t>4. Resumen de la ejecución al 22/10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1728"/>
        <w:gridCol w:w="1728"/>
        <w:gridCol w:w="1728"/>
        <w:gridCol w:w="2016"/>
      </w:tblGrid>
      <w:tr>
        <w:tc>
          <w:tcPr>
            <w:tcW w:type="dxa" w:w="2160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728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Casos</w:t>
            </w:r>
          </w:p>
        </w:tc>
        <w:tc>
          <w:tcPr>
            <w:tcW w:type="dxa" w:w="1728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Cumplen</w:t>
            </w:r>
          </w:p>
        </w:tc>
        <w:tc>
          <w:tcPr>
            <w:tcW w:type="dxa" w:w="1728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Fallan</w:t>
            </w:r>
          </w:p>
        </w:tc>
        <w:tc>
          <w:tcPr>
            <w:tcW w:type="dxa" w:w="2016"/>
            <w:shd w:val="clear" w:color="auto" w:fill="2F4B3C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Pendientes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8"/>
              </w:rPr>
              <w:t>Automáticas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8"/>
              </w:rPr>
              <w:t>Manuales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b w:val="0"/>
                <w:sz w:val="18"/>
              </w:rPr>
              <w:t>5</w:t>
            </w:r>
          </w:p>
        </w:tc>
      </w:tr>
    </w:tbl>
    <w:p/>
    <w:p>
      <w:r>
        <w:t>Las pruebas automáticas se ejecutaron sobre las 33 combinaciones de página y ancho, y todas cumplen. Al diseñar el plan se encontraron y corrigieron los siguientes defectos:</w:t>
      </w:r>
    </w:p>
    <w:p>
      <w:pPr>
        <w:pStyle w:val="ListBullet"/>
        <w:spacing w:after="60"/>
      </w:pPr>
      <w:r>
        <w:rPr>
          <w:b/>
        </w:rPr>
        <w:t xml:space="preserve">Mensaje del código postal. </w:t>
      </w:r>
      <w:r>
        <w:t>El navegador mostraba un texto genérico («Utiliza un formato que coincida con el solicitado»). Se agregó una regla con mensaje propio. Corregido el 22/10.</w:t>
      </w:r>
    </w:p>
    <w:p>
      <w:pPr>
        <w:pStyle w:val="ListBullet"/>
        <w:spacing w:after="60"/>
      </w:pPr>
      <w:r>
        <w:rPr>
          <w:b/>
        </w:rPr>
        <w:t xml:space="preserve">Encabezado a 600 px. </w:t>
      </w:r>
      <w:r>
        <w:t>Al agregar el botón de arrepentimiento, el encabezado quedaba en tres filas desordenadas. Se reorganizó: marca y botón en la primera fila y buscador debajo; desde 960 px, una sola fila. Corregido el 22/10.</w:t>
      </w:r>
    </w:p>
    <w:p>
      <w:pPr>
        <w:pStyle w:val="ListBullet"/>
        <w:spacing w:after="60"/>
      </w:pPr>
      <w:r>
        <w:rPr>
          <w:b/>
        </w:rPr>
        <w:t xml:space="preserve">Defectos de la propia prueba. </w:t>
      </w:r>
      <w:r>
        <w:t>Dos verificaciones legales fallaban por errores del script (precedencia de operadores y un selector que tomaba el enlace equivocado), no del sitio. Se corrigieron y se volvió a ejecutar todo.</w:t>
      </w:r>
    </w:p>
    <w:p>
      <w:pPr>
        <w:pStyle w:val="Heading1"/>
      </w:pPr>
      <w:r>
        <w:t>5. Criterios de aceptación para el lanzamiento</w:t>
      </w:r>
    </w:p>
    <w:p>
      <w:pPr>
        <w:pStyle w:val="ListBullet"/>
        <w:spacing w:after="60"/>
      </w:pPr>
      <w:r>
        <w:t>El 100 % de los casos automáticos cumple en las 33 combinaciones.</w:t>
      </w:r>
    </w:p>
    <w:p>
      <w:pPr>
        <w:pStyle w:val="ListBullet"/>
        <w:spacing w:after="60"/>
      </w:pPr>
      <w:r>
        <w:t>Los casos manuales CP-32, CP-35, CP-36, CP-37 y CP-38 están ejecutados y documentados con capturas.</w:t>
      </w:r>
    </w:p>
    <w:p>
      <w:pPr>
        <w:pStyle w:val="ListBullet"/>
        <w:spacing w:after="60"/>
      </w:pPr>
      <w:r>
        <w:t>No hay defectos abiertos que impidan comprar ni que contradigan una cláusula de los Términos y Condiciones.</w:t>
      </w:r>
    </w:p>
    <w:p>
      <w:pPr>
        <w:pStyle w:val="ListBullet"/>
        <w:spacing w:after="60"/>
      </w:pPr>
      <w:r>
        <w:t>Cada cambio de alcance aprobado en el Sprint 4 suma sus casos de prueba a este plan.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F4B3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4B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