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4B3C"/>
          <w:sz w:val="36"/>
        </w:rPr>
        <w:t>REGISTRO DE SOLICITUDES DE CAMBIO DE ALCANCE</w:t>
      </w:r>
    </w:p>
    <w:p>
      <w:r>
        <w:rPr>
          <w:color w:val="444444"/>
          <w:sz w:val="24"/>
        </w:rPr>
        <w:t>Woodbird — Aves decorativas de madera</w:t>
      </w:r>
    </w:p>
    <w:tbl>
      <w:tblPr>
        <w:tblStyle w:val="TableGrid"/>
        <w:tblW w:type="auto" w:w="0"/>
        <w:tblLook w:firstColumn="1" w:firstRow="1" w:lastColumn="0" w:lastRow="0" w:noHBand="0" w:noVBand="1" w:val="04A0"/>
      </w:tblPr>
      <w:tblGrid>
        <w:gridCol w:w="4680"/>
        <w:gridCol w:w="4680"/>
      </w:tblGrid>
      <w:tr>
        <w:tc>
          <w:tcPr>
            <w:tcW w:type="dxa" w:w="2016"/>
            <w:shd w:val="clear" w:color="auto" w:fill="E3EBE5"/>
          </w:tcPr>
          <w:p>
            <w:pPr>
              <w:spacing w:after="0"/>
            </w:pPr>
            <w:r>
              <w:rPr>
                <w:b/>
                <w:sz w:val="18"/>
              </w:rPr>
              <w:t>Materia</w:t>
            </w:r>
          </w:p>
        </w:tc>
        <w:tc>
          <w:tcPr>
            <w:tcW w:type="dxa" w:w="7344"/>
          </w:tcPr>
          <w:p>
            <w:pPr>
              <w:spacing w:after="0"/>
            </w:pPr>
            <w:r>
              <w:rPr>
                <w:b w:val="0"/>
                <w:sz w:val="18"/>
              </w:rPr>
              <w:t>Dirección y Gestión de Proyectos Tecnológicos (DGP)</w:t>
            </w:r>
          </w:p>
        </w:tc>
      </w:tr>
      <w:tr>
        <w:tc>
          <w:tcPr>
            <w:tcW w:type="dxa" w:w="2016"/>
            <w:shd w:val="clear" w:color="auto" w:fill="E3EBE5"/>
          </w:tcPr>
          <w:p>
            <w:pPr>
              <w:spacing w:after="0"/>
            </w:pPr>
            <w:r>
              <w:rPr>
                <w:b/>
                <w:sz w:val="18"/>
              </w:rPr>
              <w:t>Actividad</w:t>
            </w:r>
          </w:p>
        </w:tc>
        <w:tc>
          <w:tcPr>
            <w:tcW w:type="dxa" w:w="7344"/>
          </w:tcPr>
          <w:p>
            <w:pPr>
              <w:spacing w:after="0"/>
            </w:pPr>
            <w:r>
              <w:rPr>
                <w:b w:val="0"/>
                <w:sz w:val="18"/>
              </w:rPr>
              <w:t>Sprint 3 — Tarea 3.3: Control de cambios de alcance y su impacto sobre la fecha de entrega</w:t>
            </w:r>
          </w:p>
        </w:tc>
      </w:tr>
      <w:tr>
        <w:tc>
          <w:tcPr>
            <w:tcW w:type="dxa" w:w="2016"/>
            <w:shd w:val="clear" w:color="auto" w:fill="E3EBE5"/>
          </w:tcPr>
          <w:p>
            <w:pPr>
              <w:spacing w:after="0"/>
            </w:pPr>
            <w:r>
              <w:rPr>
                <w:b/>
                <w:sz w:val="18"/>
              </w:rPr>
              <w:t>Rol</w:t>
            </w:r>
          </w:p>
        </w:tc>
        <w:tc>
          <w:tcPr>
            <w:tcW w:type="dxa" w:w="7344"/>
          </w:tcPr>
          <w:p>
            <w:pPr>
              <w:spacing w:after="0"/>
            </w:pPr>
            <w:r>
              <w:rPr>
                <w:b w:val="0"/>
                <w:sz w:val="18"/>
              </w:rPr>
              <w:t>Project Manager</w:t>
            </w:r>
          </w:p>
        </w:tc>
      </w:tr>
      <w:tr>
        <w:tc>
          <w:tcPr>
            <w:tcW w:type="dxa" w:w="2016"/>
            <w:shd w:val="clear" w:color="auto" w:fill="E3EBE5"/>
          </w:tcPr>
          <w:p>
            <w:pPr>
              <w:spacing w:after="0"/>
            </w:pPr>
            <w:r>
              <w:rPr>
                <w:b/>
                <w:sz w:val="18"/>
              </w:rPr>
              <w:t>Startup</w:t>
            </w:r>
          </w:p>
        </w:tc>
        <w:tc>
          <w:tcPr>
            <w:tcW w:type="dxa" w:w="7344"/>
          </w:tcPr>
          <w:p>
            <w:pPr>
              <w:spacing w:after="0"/>
            </w:pPr>
            <w:r>
              <w:rPr>
                <w:b w:val="0"/>
                <w:sz w:val="18"/>
              </w:rPr>
              <w:t>Woodbird — Aves decorativas de madera</w:t>
            </w:r>
          </w:p>
        </w:tc>
      </w:tr>
      <w:tr>
        <w:tc>
          <w:tcPr>
            <w:tcW w:type="dxa" w:w="2016"/>
            <w:shd w:val="clear" w:color="auto" w:fill="E3EBE5"/>
          </w:tcPr>
          <w:p>
            <w:pPr>
              <w:spacing w:after="0"/>
            </w:pPr>
            <w:r>
              <w:rPr>
                <w:b/>
                <w:sz w:val="18"/>
              </w:rPr>
              <w:t>Autor</w:t>
            </w:r>
          </w:p>
        </w:tc>
        <w:tc>
          <w:tcPr>
            <w:tcW w:type="dxa" w:w="7344"/>
          </w:tcPr>
          <w:p>
            <w:pPr>
              <w:spacing w:after="0"/>
            </w:pPr>
            <w:r>
              <w:rPr>
                <w:b w:val="0"/>
                <w:sz w:val="18"/>
              </w:rPr>
              <w:t>Reiss Jorge Nicolás</w:t>
            </w:r>
          </w:p>
        </w:tc>
      </w:tr>
      <w:tr>
        <w:tc>
          <w:tcPr>
            <w:tcW w:type="dxa" w:w="2016"/>
            <w:shd w:val="clear" w:color="auto" w:fill="E3EBE5"/>
          </w:tcPr>
          <w:p>
            <w:pPr>
              <w:spacing w:after="0"/>
            </w:pPr>
            <w:r>
              <w:rPr>
                <w:b/>
                <w:sz w:val="18"/>
              </w:rPr>
              <w:t>Docente</w:t>
            </w:r>
          </w:p>
        </w:tc>
        <w:tc>
          <w:tcPr>
            <w:tcW w:type="dxa" w:w="7344"/>
          </w:tcPr>
          <w:p>
            <w:pPr>
              <w:spacing w:after="0"/>
            </w:pPr>
            <w:r>
              <w:rPr>
                <w:b w:val="0"/>
                <w:sz w:val="18"/>
              </w:rPr>
              <w:t>Ibañez Erick</w:t>
            </w:r>
          </w:p>
        </w:tc>
      </w:tr>
      <w:tr>
        <w:tc>
          <w:tcPr>
            <w:tcW w:type="dxa" w:w="2016"/>
            <w:shd w:val="clear" w:color="auto" w:fill="E3EBE5"/>
          </w:tcPr>
          <w:p>
            <w:pPr>
              <w:spacing w:after="0"/>
            </w:pPr>
            <w:r>
              <w:rPr>
                <w:b/>
                <w:sz w:val="18"/>
              </w:rPr>
              <w:t>Fecha</w:t>
            </w:r>
          </w:p>
        </w:tc>
        <w:tc>
          <w:tcPr>
            <w:tcW w:type="dxa" w:w="7344"/>
          </w:tcPr>
          <w:p>
            <w:pPr>
              <w:spacing w:after="0"/>
            </w:pPr>
            <w:r>
              <w:rPr>
                <w:b w:val="0"/>
                <w:sz w:val="18"/>
              </w:rPr>
              <w:t>22 de octubre de 2026</w:t>
            </w:r>
          </w:p>
        </w:tc>
      </w:tr>
    </w:tbl>
    <w:p/>
    <w:p>
      <w:pPr>
        <w:pStyle w:val="Heading1"/>
      </w:pPr>
      <w:r>
        <w:t>1. Procedimiento de control de cambios</w:t>
      </w:r>
    </w:p>
    <w:p>
      <w:r>
        <w:t>Toda funcionalidad nueva o toda tarea que se quite del plan pasa por este procedimiento antes de implementarse:</w:t>
      </w:r>
    </w:p>
    <w:p>
      <w:pPr>
        <w:pStyle w:val="ListBullet"/>
        <w:spacing w:after="60"/>
      </w:pPr>
      <w:r>
        <w:rPr>
          <w:b/>
        </w:rPr>
        <w:t xml:space="preserve">Solicitud. </w:t>
      </w:r>
      <w:r>
        <w:t>Cualquier rol (desarrollador, Compliance Officer, responsable de negocio) registra el cambio en esta tabla y como tarjeta en el tablero Kanban.</w:t>
      </w:r>
    </w:p>
    <w:p>
      <w:pPr>
        <w:pStyle w:val="ListBullet"/>
        <w:spacing w:after="60"/>
      </w:pPr>
      <w:r>
        <w:rPr>
          <w:b/>
        </w:rPr>
        <w:t xml:space="preserve">Evaluación. </w:t>
      </w:r>
      <w:r>
        <w:t>El Project Manager estima el esfuerzo en horas y lo compara con la holgura que queda hasta la fecha de entrega. También evalúa el impacto en costo, calidad, riesgos y aspectos legales.</w:t>
      </w:r>
    </w:p>
    <w:p>
      <w:pPr>
        <w:pStyle w:val="ListBullet"/>
        <w:spacing w:after="60"/>
      </w:pPr>
      <w:r>
        <w:rPr>
          <w:b/>
        </w:rPr>
        <w:t xml:space="preserve">Decisión. </w:t>
      </w:r>
      <w:r>
        <w:t>Según la sección 7 del Acta, el PM decide sobre los cambios que no alteran el alcance general. Los que lo alteran los decide el docente. Una obligación legal no es opcional: se aprueba y se replanifica.</w:t>
      </w:r>
    </w:p>
    <w:p>
      <w:pPr>
        <w:pStyle w:val="ListBullet"/>
        <w:spacing w:after="60"/>
      </w:pPr>
      <w:r>
        <w:rPr>
          <w:b/>
        </w:rPr>
        <w:t xml:space="preserve">Cierre. </w:t>
      </w:r>
      <w:r>
        <w:t>El cambio aprobado se implementa con su commit y se agregan sus casos de prueba al plan de pruebas.</w:t>
      </w:r>
    </w:p>
    <w:p>
      <w:pPr>
        <w:pStyle w:val="Heading1"/>
      </w:pPr>
      <w:r>
        <w:t>2. Registro</w:t>
      </w:r>
    </w:p>
    <w:tbl>
      <w:tblPr>
        <w:tblStyle w:val="TableGrid"/>
        <w:tblW w:type="auto" w:w="0"/>
        <w:tblLayout w:type="fixed"/>
        <w:tblLook w:firstColumn="1" w:firstRow="1" w:lastColumn="0" w:lastRow="0" w:noHBand="0" w:noVBand="1" w:val="04A0"/>
      </w:tblPr>
      <w:tblGrid>
        <w:gridCol w:w="648"/>
        <w:gridCol w:w="648"/>
        <w:gridCol w:w="2520"/>
        <w:gridCol w:w="1224"/>
        <w:gridCol w:w="1800"/>
        <w:gridCol w:w="1008"/>
        <w:gridCol w:w="1512"/>
      </w:tblGrid>
      <w:tr>
        <w:tc>
          <w:tcPr>
            <w:tcW w:type="dxa" w:w="648"/>
            <w:shd w:val="clear" w:color="auto" w:fill="2F4B3C"/>
          </w:tcPr>
          <w:p>
            <w:pPr>
              <w:spacing w:after="0"/>
            </w:pPr>
            <w:r>
              <w:rPr>
                <w:b/>
                <w:color w:val="FFFFFF"/>
                <w:sz w:val="18"/>
              </w:rPr>
              <w:t>N.º</w:t>
            </w:r>
          </w:p>
        </w:tc>
        <w:tc>
          <w:tcPr>
            <w:tcW w:type="dxa" w:w="648"/>
            <w:shd w:val="clear" w:color="auto" w:fill="2F4B3C"/>
          </w:tcPr>
          <w:p>
            <w:pPr>
              <w:spacing w:after="0"/>
            </w:pPr>
            <w:r>
              <w:rPr>
                <w:b/>
                <w:color w:val="FFFFFF"/>
                <w:sz w:val="18"/>
              </w:rPr>
              <w:t>Fecha</w:t>
            </w:r>
          </w:p>
        </w:tc>
        <w:tc>
          <w:tcPr>
            <w:tcW w:type="dxa" w:w="2520"/>
            <w:shd w:val="clear" w:color="auto" w:fill="2F4B3C"/>
          </w:tcPr>
          <w:p>
            <w:pPr>
              <w:spacing w:after="0"/>
            </w:pPr>
            <w:r>
              <w:rPr>
                <w:b/>
                <w:color w:val="FFFFFF"/>
                <w:sz w:val="18"/>
              </w:rPr>
              <w:t>Cambio</w:t>
            </w:r>
          </w:p>
        </w:tc>
        <w:tc>
          <w:tcPr>
            <w:tcW w:type="dxa" w:w="1224"/>
            <w:shd w:val="clear" w:color="auto" w:fill="2F4B3C"/>
          </w:tcPr>
          <w:p>
            <w:pPr>
              <w:spacing w:after="0"/>
            </w:pPr>
            <w:r>
              <w:rPr>
                <w:b/>
                <w:color w:val="FFFFFF"/>
                <w:sz w:val="18"/>
              </w:rPr>
              <w:t>Origen</w:t>
            </w:r>
          </w:p>
        </w:tc>
        <w:tc>
          <w:tcPr>
            <w:tcW w:type="dxa" w:w="1800"/>
            <w:shd w:val="clear" w:color="auto" w:fill="2F4B3C"/>
          </w:tcPr>
          <w:p>
            <w:pPr>
              <w:spacing w:after="0"/>
            </w:pPr>
            <w:r>
              <w:rPr>
                <w:b/>
                <w:color w:val="FFFFFF"/>
                <w:sz w:val="18"/>
              </w:rPr>
              <w:t>Impacto temporal</w:t>
            </w:r>
          </w:p>
        </w:tc>
        <w:tc>
          <w:tcPr>
            <w:tcW w:type="dxa" w:w="1008"/>
            <w:shd w:val="clear" w:color="auto" w:fill="2F4B3C"/>
          </w:tcPr>
          <w:p>
            <w:pPr>
              <w:spacing w:after="0"/>
            </w:pPr>
            <w:r>
              <w:rPr>
                <w:b/>
                <w:color w:val="FFFFFF"/>
                <w:sz w:val="18"/>
              </w:rPr>
              <w:t>Decide</w:t>
            </w:r>
          </w:p>
        </w:tc>
        <w:tc>
          <w:tcPr>
            <w:tcW w:type="dxa" w:w="1512"/>
            <w:shd w:val="clear" w:color="auto" w:fill="2F4B3C"/>
          </w:tcPr>
          <w:p>
            <w:pPr>
              <w:spacing w:after="0"/>
            </w:pPr>
            <w:r>
              <w:rPr>
                <w:b/>
                <w:color w:val="FFFFFF"/>
                <w:sz w:val="18"/>
              </w:rPr>
              <w:t>Estado al 22/10</w:t>
            </w:r>
          </w:p>
        </w:tc>
      </w:tr>
      <w:tr>
        <w:tc>
          <w:tcPr>
            <w:tcW w:type="dxa" w:w="648"/>
          </w:tcPr>
          <w:p>
            <w:pPr>
              <w:spacing w:after="0"/>
            </w:pPr>
            <w:r>
              <w:rPr>
                <w:b/>
                <w:sz w:val="18"/>
              </w:rPr>
              <w:t>SC-01</w:t>
            </w:r>
          </w:p>
        </w:tc>
        <w:tc>
          <w:tcPr>
            <w:tcW w:type="dxa" w:w="648"/>
          </w:tcPr>
          <w:p>
            <w:pPr>
              <w:spacing w:after="0"/>
            </w:pPr>
            <w:r>
              <w:rPr>
                <w:b w:val="0"/>
                <w:sz w:val="18"/>
              </w:rPr>
              <w:t>28/09</w:t>
            </w:r>
          </w:p>
        </w:tc>
        <w:tc>
          <w:tcPr>
            <w:tcW w:type="dxa" w:w="2520"/>
          </w:tcPr>
          <w:p>
            <w:pPr>
              <w:spacing w:after="0"/>
            </w:pPr>
            <w:r>
              <w:rPr>
                <w:b w:val="0"/>
                <w:sz w:val="18"/>
              </w:rPr>
              <w:t>Alinear el Acta con la consigna: compra simulada, sin backend ni pagos reales.</w:t>
            </w:r>
          </w:p>
        </w:tc>
        <w:tc>
          <w:tcPr>
            <w:tcW w:type="dxa" w:w="1224"/>
          </w:tcPr>
          <w:p>
            <w:pPr>
              <w:spacing w:after="0"/>
            </w:pPr>
            <w:r>
              <w:rPr>
                <w:b w:val="0"/>
                <w:sz w:val="18"/>
              </w:rPr>
              <w:t>PM (riesgo R4)</w:t>
            </w:r>
          </w:p>
        </w:tc>
        <w:tc>
          <w:tcPr>
            <w:tcW w:type="dxa" w:w="1800"/>
          </w:tcPr>
          <w:p>
            <w:pPr>
              <w:spacing w:after="0"/>
            </w:pPr>
            <w:r>
              <w:rPr>
                <w:b w:val="0"/>
                <w:sz w:val="18"/>
              </w:rPr>
              <w:t>Libera las semanas 7 y 9 del Acta.</w:t>
            </w:r>
          </w:p>
        </w:tc>
        <w:tc>
          <w:tcPr>
            <w:tcW w:type="dxa" w:w="1008"/>
          </w:tcPr>
          <w:p>
            <w:pPr>
              <w:spacing w:after="0"/>
            </w:pPr>
            <w:r>
              <w:rPr>
                <w:b w:val="0"/>
                <w:sz w:val="18"/>
              </w:rPr>
              <w:t>Docente</w:t>
            </w:r>
          </w:p>
        </w:tc>
        <w:tc>
          <w:tcPr>
            <w:tcW w:type="dxa" w:w="1512"/>
          </w:tcPr>
          <w:p>
            <w:pPr>
              <w:spacing w:after="0"/>
            </w:pPr>
            <w:r>
              <w:rPr>
                <w:b w:val="0"/>
                <w:sz w:val="18"/>
              </w:rPr>
              <w:t>Presentada. Sin respuesta al 22/10; se reitera.</w:t>
            </w:r>
          </w:p>
        </w:tc>
      </w:tr>
      <w:tr>
        <w:tc>
          <w:tcPr>
            <w:tcW w:type="dxa" w:w="648"/>
          </w:tcPr>
          <w:p>
            <w:pPr>
              <w:spacing w:after="0"/>
            </w:pPr>
            <w:r>
              <w:rPr>
                <w:b/>
                <w:sz w:val="18"/>
              </w:rPr>
              <w:t>SC-02</w:t>
            </w:r>
          </w:p>
        </w:tc>
        <w:tc>
          <w:tcPr>
            <w:tcW w:type="dxa" w:w="648"/>
          </w:tcPr>
          <w:p>
            <w:pPr>
              <w:spacing w:after="0"/>
            </w:pPr>
            <w:r>
              <w:rPr>
                <w:b w:val="0"/>
                <w:sz w:val="18"/>
              </w:rPr>
              <w:t>22/10</w:t>
            </w:r>
          </w:p>
        </w:tc>
        <w:tc>
          <w:tcPr>
            <w:tcW w:type="dxa" w:w="2520"/>
          </w:tcPr>
          <w:p>
            <w:pPr>
              <w:spacing w:after="0"/>
            </w:pPr>
            <w:r>
              <w:rPr>
                <w:b w:val="0"/>
                <w:sz w:val="18"/>
              </w:rPr>
              <w:t>Hacer funcionales los filtros por chip y el buscador del catálogo.</w:t>
            </w:r>
          </w:p>
        </w:tc>
        <w:tc>
          <w:tcPr>
            <w:tcW w:type="dxa" w:w="1224"/>
          </w:tcPr>
          <w:p>
            <w:pPr>
              <w:spacing w:after="0"/>
            </w:pPr>
            <w:r>
              <w:rPr>
                <w:b w:val="0"/>
                <w:sz w:val="18"/>
              </w:rPr>
              <w:t>Desarrollador</w:t>
            </w:r>
          </w:p>
        </w:tc>
        <w:tc>
          <w:tcPr>
            <w:tcW w:type="dxa" w:w="1800"/>
          </w:tcPr>
          <w:p>
            <w:pPr>
              <w:spacing w:after="0"/>
            </w:pPr>
            <w:r>
              <w:rPr>
                <w:b w:val="0"/>
                <w:sz w:val="18"/>
              </w:rPr>
              <w:t>≈ 1 h, absorbida el 22/10.</w:t>
            </w:r>
          </w:p>
        </w:tc>
        <w:tc>
          <w:tcPr>
            <w:tcW w:type="dxa" w:w="1008"/>
          </w:tcPr>
          <w:p>
            <w:pPr>
              <w:spacing w:after="0"/>
            </w:pPr>
            <w:r>
              <w:rPr>
                <w:b w:val="0"/>
                <w:sz w:val="18"/>
              </w:rPr>
              <w:t>PM</w:t>
            </w:r>
          </w:p>
        </w:tc>
        <w:tc>
          <w:tcPr>
            <w:tcW w:type="dxa" w:w="1512"/>
          </w:tcPr>
          <w:p>
            <w:pPr>
              <w:spacing w:after="0"/>
            </w:pPr>
            <w:r>
              <w:rPr>
                <w:b w:val="0"/>
                <w:sz w:val="18"/>
              </w:rPr>
              <w:t>Aprobada e implementada.</w:t>
            </w:r>
          </w:p>
        </w:tc>
      </w:tr>
      <w:tr>
        <w:tc>
          <w:tcPr>
            <w:tcW w:type="dxa" w:w="648"/>
          </w:tcPr>
          <w:p>
            <w:pPr>
              <w:spacing w:after="0"/>
            </w:pPr>
            <w:r>
              <w:rPr>
                <w:b/>
                <w:sz w:val="18"/>
              </w:rPr>
              <w:t>SC-03</w:t>
            </w:r>
          </w:p>
        </w:tc>
        <w:tc>
          <w:tcPr>
            <w:tcW w:type="dxa" w:w="648"/>
          </w:tcPr>
          <w:p>
            <w:pPr>
              <w:spacing w:after="0"/>
            </w:pPr>
            <w:r>
              <w:rPr>
                <w:b w:val="0"/>
                <w:sz w:val="18"/>
              </w:rPr>
              <w:t>22/10</w:t>
            </w:r>
          </w:p>
        </w:tc>
        <w:tc>
          <w:tcPr>
            <w:tcW w:type="dxa" w:w="2520"/>
          </w:tcPr>
          <w:p>
            <w:pPr>
              <w:spacing w:after="0"/>
            </w:pPr>
            <w:r>
              <w:rPr>
                <w:b w:val="0"/>
                <w:sz w:val="18"/>
              </w:rPr>
              <w:t>Agregar el botón de arrepentimiento en el encabezado y el enlace a la Ventanilla Única Federal en el pie.</w:t>
            </w:r>
          </w:p>
        </w:tc>
        <w:tc>
          <w:tcPr>
            <w:tcW w:type="dxa" w:w="1224"/>
          </w:tcPr>
          <w:p>
            <w:pPr>
              <w:spacing w:after="0"/>
            </w:pPr>
            <w:r>
              <w:rPr>
                <w:b w:val="0"/>
                <w:sz w:val="18"/>
              </w:rPr>
              <w:t>Compliance Officer</w:t>
            </w:r>
          </w:p>
        </w:tc>
        <w:tc>
          <w:tcPr>
            <w:tcW w:type="dxa" w:w="1800"/>
          </w:tcPr>
          <w:p>
            <w:pPr>
              <w:spacing w:after="0"/>
            </w:pPr>
            <w:r>
              <w:rPr>
                <w:b w:val="0"/>
                <w:sz w:val="18"/>
              </w:rPr>
              <w:t>≈ 2 h, absorbidas el 22/10.</w:t>
            </w:r>
          </w:p>
        </w:tc>
        <w:tc>
          <w:tcPr>
            <w:tcW w:type="dxa" w:w="1008"/>
          </w:tcPr>
          <w:p>
            <w:pPr>
              <w:spacing w:after="0"/>
            </w:pPr>
            <w:r>
              <w:rPr>
                <w:b w:val="0"/>
                <w:sz w:val="18"/>
              </w:rPr>
              <w:t>PM (obligación legal)</w:t>
            </w:r>
          </w:p>
        </w:tc>
        <w:tc>
          <w:tcPr>
            <w:tcW w:type="dxa" w:w="1512"/>
          </w:tcPr>
          <w:p>
            <w:pPr>
              <w:spacing w:after="0"/>
            </w:pPr>
            <w:r>
              <w:rPr>
                <w:b w:val="0"/>
                <w:sz w:val="18"/>
              </w:rPr>
              <w:t>Aprobada e implementada.</w:t>
            </w:r>
          </w:p>
        </w:tc>
      </w:tr>
      <w:tr>
        <w:tc>
          <w:tcPr>
            <w:tcW w:type="dxa" w:w="648"/>
          </w:tcPr>
          <w:p>
            <w:pPr>
              <w:spacing w:after="0"/>
            </w:pPr>
            <w:r>
              <w:rPr>
                <w:b/>
                <w:sz w:val="18"/>
              </w:rPr>
              <w:t>SC-04</w:t>
            </w:r>
          </w:p>
        </w:tc>
        <w:tc>
          <w:tcPr>
            <w:tcW w:type="dxa" w:w="648"/>
          </w:tcPr>
          <w:p>
            <w:pPr>
              <w:spacing w:after="0"/>
            </w:pPr>
            <w:r>
              <w:rPr>
                <w:b w:val="0"/>
                <w:sz w:val="18"/>
              </w:rPr>
              <w:t>22/10</w:t>
            </w:r>
          </w:p>
        </w:tc>
        <w:tc>
          <w:tcPr>
            <w:tcW w:type="dxa" w:w="2520"/>
          </w:tcPr>
          <w:p>
            <w:pPr>
              <w:spacing w:after="0"/>
            </w:pPr>
            <w:r>
              <w:rPr>
                <w:b w:val="0"/>
                <w:sz w:val="18"/>
              </w:rPr>
              <w:t>Ofrecer una garantía propia de 12 meses contra rajaduras, además de la legal de 6 meses.</w:t>
            </w:r>
          </w:p>
        </w:tc>
        <w:tc>
          <w:tcPr>
            <w:tcW w:type="dxa" w:w="1224"/>
          </w:tcPr>
          <w:p>
            <w:pPr>
              <w:spacing w:after="0"/>
            </w:pPr>
            <w:r>
              <w:rPr>
                <w:b w:val="0"/>
                <w:sz w:val="18"/>
              </w:rPr>
              <w:t>Responsable de Negocio</w:t>
            </w:r>
          </w:p>
        </w:tc>
        <w:tc>
          <w:tcPr>
            <w:tcW w:type="dxa" w:w="1800"/>
          </w:tcPr>
          <w:p>
            <w:pPr>
              <w:spacing w:after="0"/>
            </w:pPr>
            <w:r>
              <w:rPr>
                <w:b w:val="0"/>
                <w:sz w:val="18"/>
              </w:rPr>
              <w:t>Sin impacto en el desarrollo (sólo texto contractual).</w:t>
            </w:r>
          </w:p>
        </w:tc>
        <w:tc>
          <w:tcPr>
            <w:tcW w:type="dxa" w:w="1008"/>
          </w:tcPr>
          <w:p>
            <w:pPr>
              <w:spacing w:after="0"/>
            </w:pPr>
            <w:r>
              <w:rPr>
                <w:b w:val="0"/>
                <w:sz w:val="18"/>
              </w:rPr>
              <w:t>PM</w:t>
            </w:r>
          </w:p>
        </w:tc>
        <w:tc>
          <w:tcPr>
            <w:tcW w:type="dxa" w:w="1512"/>
          </w:tcPr>
          <w:p>
            <w:pPr>
              <w:spacing w:after="0"/>
            </w:pPr>
            <w:r>
              <w:rPr>
                <w:b w:val="0"/>
                <w:sz w:val="18"/>
              </w:rPr>
              <w:t>Aprobada e incluida en la cláusula 10.</w:t>
            </w:r>
          </w:p>
        </w:tc>
      </w:tr>
      <w:tr>
        <w:tc>
          <w:tcPr>
            <w:tcW w:type="dxa" w:w="648"/>
          </w:tcPr>
          <w:p>
            <w:pPr>
              <w:spacing w:after="0"/>
            </w:pPr>
            <w:r>
              <w:rPr>
                <w:b/>
                <w:sz w:val="18"/>
              </w:rPr>
              <w:t>SC-05</w:t>
            </w:r>
          </w:p>
        </w:tc>
        <w:tc>
          <w:tcPr>
            <w:tcW w:type="dxa" w:w="648"/>
          </w:tcPr>
          <w:p>
            <w:pPr>
              <w:spacing w:after="0"/>
            </w:pPr>
            <w:r>
              <w:rPr>
                <w:b w:val="0"/>
                <w:sz w:val="18"/>
              </w:rPr>
              <w:t>22/10</w:t>
            </w:r>
          </w:p>
        </w:tc>
        <w:tc>
          <w:tcPr>
            <w:tcW w:type="dxa" w:w="2520"/>
          </w:tcPr>
          <w:p>
            <w:pPr>
              <w:spacing w:after="0"/>
            </w:pPr>
            <w:r>
              <w:rPr>
                <w:b w:val="0"/>
                <w:sz w:val="18"/>
              </w:rPr>
              <w:t>Postergar al Sprint 4 la generación de las 12 imágenes de producto con IA (riesgo R6).</w:t>
            </w:r>
          </w:p>
        </w:tc>
        <w:tc>
          <w:tcPr>
            <w:tcW w:type="dxa" w:w="1224"/>
          </w:tcPr>
          <w:p>
            <w:pPr>
              <w:spacing w:after="0"/>
            </w:pPr>
            <w:r>
              <w:rPr>
                <w:b w:val="0"/>
                <w:sz w:val="18"/>
              </w:rPr>
              <w:t>PM (riesgo R1)</w:t>
            </w:r>
          </w:p>
        </w:tc>
        <w:tc>
          <w:tcPr>
            <w:tcW w:type="dxa" w:w="1800"/>
          </w:tcPr>
          <w:p>
            <w:pPr>
              <w:spacing w:after="0"/>
            </w:pPr>
            <w:r>
              <w:rPr>
                <w:b w:val="0"/>
                <w:sz w:val="18"/>
              </w:rPr>
              <w:t>Hacerla en el Sprint 3 costaría ≈ 6 h y pondría en riesgo la entrega del 23/10.</w:t>
            </w:r>
          </w:p>
        </w:tc>
        <w:tc>
          <w:tcPr>
            <w:tcW w:type="dxa" w:w="1008"/>
          </w:tcPr>
          <w:p>
            <w:pPr>
              <w:spacing w:after="0"/>
            </w:pPr>
            <w:r>
              <w:rPr>
                <w:b w:val="0"/>
                <w:sz w:val="18"/>
              </w:rPr>
              <w:t>PM</w:t>
            </w:r>
          </w:p>
        </w:tc>
        <w:tc>
          <w:tcPr>
            <w:tcW w:type="dxa" w:w="1512"/>
          </w:tcPr>
          <w:p>
            <w:pPr>
              <w:spacing w:after="0"/>
            </w:pPr>
            <w:r>
              <w:rPr>
                <w:b w:val="0"/>
                <w:sz w:val="18"/>
              </w:rPr>
              <w:t>Aprobada el 22/10. La tarea pasa al Sprint 4.</w:t>
            </w:r>
          </w:p>
        </w:tc>
      </w:tr>
      <w:tr>
        <w:tc>
          <w:tcPr>
            <w:tcW w:type="dxa" w:w="648"/>
          </w:tcPr>
          <w:p>
            <w:pPr>
              <w:spacing w:after="0"/>
            </w:pPr>
            <w:r>
              <w:rPr>
                <w:b/>
                <w:sz w:val="18"/>
              </w:rPr>
              <w:t>SC-06</w:t>
            </w:r>
          </w:p>
        </w:tc>
        <w:tc>
          <w:tcPr>
            <w:tcW w:type="dxa" w:w="648"/>
          </w:tcPr>
          <w:p>
            <w:pPr>
              <w:spacing w:after="0"/>
            </w:pPr>
            <w:r>
              <w:rPr>
                <w:b w:val="0"/>
                <w:sz w:val="18"/>
              </w:rPr>
              <w:t>22/10</w:t>
            </w:r>
          </w:p>
        </w:tc>
        <w:tc>
          <w:tcPr>
            <w:tcW w:type="dxa" w:w="2520"/>
          </w:tcPr>
          <w:p>
            <w:pPr>
              <w:spacing w:after="0"/>
            </w:pPr>
            <w:r>
              <w:rPr>
                <w:b w:val="0"/>
                <w:sz w:val="18"/>
              </w:rPr>
              <w:t>Alinear el sitio, el catálogo y los Términos (v1.1) con la Declaración de triple impacto: las piezas son diseños ficticios, sin tala ni envío físico.</w:t>
            </w:r>
          </w:p>
        </w:tc>
        <w:tc>
          <w:tcPr>
            <w:tcW w:type="dxa" w:w="1224"/>
          </w:tcPr>
          <w:p>
            <w:pPr>
              <w:spacing w:after="0"/>
            </w:pPr>
            <w:r>
              <w:rPr>
                <w:b w:val="0"/>
                <w:sz w:val="18"/>
              </w:rPr>
              <w:t>Responsable de Negocio (riesgo R12)</w:t>
            </w:r>
          </w:p>
        </w:tc>
        <w:tc>
          <w:tcPr>
            <w:tcW w:type="dxa" w:w="1800"/>
          </w:tcPr>
          <w:p>
            <w:pPr>
              <w:spacing w:after="0"/>
            </w:pPr>
            <w:r>
              <w:rPr>
                <w:b w:val="0"/>
                <w:sz w:val="18"/>
              </w:rPr>
              <w:t>≈ 1 h, absorbida el 22/10.</w:t>
            </w:r>
          </w:p>
        </w:tc>
        <w:tc>
          <w:tcPr>
            <w:tcW w:type="dxa" w:w="1008"/>
          </w:tcPr>
          <w:p>
            <w:pPr>
              <w:spacing w:after="0"/>
            </w:pPr>
            <w:r>
              <w:rPr>
                <w:b w:val="0"/>
                <w:sz w:val="18"/>
              </w:rPr>
              <w:t>PM</w:t>
            </w:r>
          </w:p>
        </w:tc>
        <w:tc>
          <w:tcPr>
            <w:tcW w:type="dxa" w:w="1512"/>
          </w:tcPr>
          <w:p>
            <w:pPr>
              <w:spacing w:after="0"/>
            </w:pPr>
            <w:r>
              <w:rPr>
                <w:b w:val="0"/>
                <w:sz w:val="18"/>
              </w:rPr>
              <w:t>Aprobada e implementada.</w:t>
            </w:r>
          </w:p>
        </w:tc>
      </w:tr>
    </w:tbl>
    <w:p/>
    <w:p>
      <w:pPr>
        <w:pStyle w:val="Heading1"/>
      </w:pPr>
      <w:r>
        <w:t>3. Impacto sobre la fecha de entrega del 23/10</w:t>
      </w:r>
    </w:p>
    <w:p>
      <w:r>
        <w:t>Al 22/10, con la entrega al día siguiente, la holgura disponible es de alrededor de un día y medio de trabajo. Lo que queda pendiente es la campaña de Instagram (3.5), el panel de KPIs (3.6) y la carpeta integradora, unas 8 horas en total. Sobre esa base:</w:t>
      </w:r>
    </w:p>
    <w:tbl>
      <w:tblPr>
        <w:tblStyle w:val="TableGrid"/>
        <w:tblW w:type="auto" w:w="0"/>
        <w:tblLayout w:type="fixed"/>
        <w:tblLook w:firstColumn="1" w:firstRow="1" w:lastColumn="0" w:lastRow="0" w:noHBand="0" w:noVBand="1" w:val="04A0"/>
      </w:tblPr>
      <w:tblGrid>
        <w:gridCol w:w="2304"/>
        <w:gridCol w:w="1440"/>
        <w:gridCol w:w="2304"/>
        <w:gridCol w:w="3312"/>
      </w:tblGrid>
      <w:tr>
        <w:tc>
          <w:tcPr>
            <w:tcW w:type="dxa" w:w="2304"/>
            <w:shd w:val="clear" w:color="auto" w:fill="2F4B3C"/>
          </w:tcPr>
          <w:p>
            <w:pPr>
              <w:spacing w:after="0"/>
            </w:pPr>
            <w:r>
              <w:rPr>
                <w:b/>
                <w:color w:val="FFFFFF"/>
                <w:sz w:val="18"/>
              </w:rPr>
              <w:t>Cambio</w:t>
            </w:r>
          </w:p>
        </w:tc>
        <w:tc>
          <w:tcPr>
            <w:tcW w:type="dxa" w:w="1440"/>
            <w:shd w:val="clear" w:color="auto" w:fill="2F4B3C"/>
          </w:tcPr>
          <w:p>
            <w:pPr>
              <w:spacing w:after="0"/>
            </w:pPr>
            <w:r>
              <w:rPr>
                <w:b/>
                <w:color w:val="FFFFFF"/>
                <w:sz w:val="18"/>
              </w:rPr>
              <w:t>Esfuerzo</w:t>
            </w:r>
          </w:p>
        </w:tc>
        <w:tc>
          <w:tcPr>
            <w:tcW w:type="dxa" w:w="2304"/>
            <w:shd w:val="clear" w:color="auto" w:fill="2F4B3C"/>
          </w:tcPr>
          <w:p>
            <w:pPr>
              <w:spacing w:after="0"/>
            </w:pPr>
            <w:r>
              <w:rPr>
                <w:b/>
                <w:color w:val="FFFFFF"/>
                <w:sz w:val="18"/>
              </w:rPr>
              <w:t>Holgura después del cambio</w:t>
            </w:r>
          </w:p>
        </w:tc>
        <w:tc>
          <w:tcPr>
            <w:tcW w:type="dxa" w:w="3312"/>
            <w:shd w:val="clear" w:color="auto" w:fill="2F4B3C"/>
          </w:tcPr>
          <w:p>
            <w:pPr>
              <w:spacing w:after="0"/>
            </w:pPr>
            <w:r>
              <w:rPr>
                <w:b/>
                <w:color w:val="FFFFFF"/>
                <w:sz w:val="18"/>
              </w:rPr>
              <w:t>Conclusión</w:t>
            </w:r>
          </w:p>
        </w:tc>
      </w:tr>
      <w:tr>
        <w:tc>
          <w:tcPr>
            <w:tcW w:type="dxa" w:w="2304"/>
          </w:tcPr>
          <w:p>
            <w:pPr>
              <w:spacing w:after="0"/>
            </w:pPr>
            <w:r>
              <w:rPr>
                <w:b/>
                <w:sz w:val="18"/>
              </w:rPr>
              <w:t>SC-02 Filtros y buscador</w:t>
            </w:r>
          </w:p>
        </w:tc>
        <w:tc>
          <w:tcPr>
            <w:tcW w:type="dxa" w:w="1440"/>
          </w:tcPr>
          <w:p>
            <w:pPr>
              <w:spacing w:after="0"/>
            </w:pPr>
            <w:r>
              <w:rPr>
                <w:b w:val="0"/>
                <w:sz w:val="18"/>
              </w:rPr>
              <w:t>≈ 1 h</w:t>
            </w:r>
          </w:p>
        </w:tc>
        <w:tc>
          <w:tcPr>
            <w:tcW w:type="dxa" w:w="2304"/>
          </w:tcPr>
          <w:p>
            <w:pPr>
              <w:spacing w:after="0"/>
            </w:pPr>
            <w:r>
              <w:rPr>
                <w:b w:val="0"/>
                <w:sz w:val="18"/>
              </w:rPr>
              <w:t>Positiva</w:t>
            </w:r>
          </w:p>
        </w:tc>
        <w:tc>
          <w:tcPr>
            <w:tcW w:type="dxa" w:w="3312"/>
          </w:tcPr>
          <w:p>
            <w:pPr>
              <w:spacing w:after="0"/>
            </w:pPr>
            <w:r>
              <w:rPr>
                <w:b w:val="0"/>
                <w:sz w:val="18"/>
              </w:rPr>
              <w:t>Se absorbe: completa controles que ya estaban visibles y no funcionaban.</w:t>
            </w:r>
          </w:p>
        </w:tc>
      </w:tr>
      <w:tr>
        <w:tc>
          <w:tcPr>
            <w:tcW w:type="dxa" w:w="2304"/>
          </w:tcPr>
          <w:p>
            <w:pPr>
              <w:spacing w:after="0"/>
            </w:pPr>
            <w:r>
              <w:rPr>
                <w:b/>
                <w:sz w:val="18"/>
              </w:rPr>
              <w:t>SC-03 Botón de arrepentimiento</w:t>
            </w:r>
          </w:p>
        </w:tc>
        <w:tc>
          <w:tcPr>
            <w:tcW w:type="dxa" w:w="1440"/>
          </w:tcPr>
          <w:p>
            <w:pPr>
              <w:spacing w:after="0"/>
            </w:pPr>
            <w:r>
              <w:rPr>
                <w:b w:val="0"/>
                <w:sz w:val="18"/>
              </w:rPr>
              <w:t>≈ 2 h</w:t>
            </w:r>
          </w:p>
        </w:tc>
        <w:tc>
          <w:tcPr>
            <w:tcW w:type="dxa" w:w="2304"/>
          </w:tcPr>
          <w:p>
            <w:pPr>
              <w:spacing w:after="0"/>
            </w:pPr>
            <w:r>
              <w:rPr>
                <w:b w:val="0"/>
                <w:sz w:val="18"/>
              </w:rPr>
              <w:t>Positiva</w:t>
            </w:r>
          </w:p>
        </w:tc>
        <w:tc>
          <w:tcPr>
            <w:tcW w:type="dxa" w:w="3312"/>
          </w:tcPr>
          <w:p>
            <w:pPr>
              <w:spacing w:after="0"/>
            </w:pPr>
            <w:r>
              <w:rPr>
                <w:b w:val="0"/>
                <w:sz w:val="18"/>
              </w:rPr>
              <w:t>Se absorbe. Es una obligación legal (Res. SCI 424/2020 y 274/2021).</w:t>
            </w:r>
          </w:p>
        </w:tc>
      </w:tr>
      <w:tr>
        <w:tc>
          <w:tcPr>
            <w:tcW w:type="dxa" w:w="2304"/>
          </w:tcPr>
          <w:p>
            <w:pPr>
              <w:spacing w:after="0"/>
            </w:pPr>
            <w:r>
              <w:rPr>
                <w:b/>
                <w:sz w:val="18"/>
              </w:rPr>
              <w:t>SC-04 Garantía propia</w:t>
            </w:r>
          </w:p>
        </w:tc>
        <w:tc>
          <w:tcPr>
            <w:tcW w:type="dxa" w:w="1440"/>
          </w:tcPr>
          <w:p>
            <w:pPr>
              <w:spacing w:after="0"/>
            </w:pPr>
            <w:r>
              <w:rPr>
                <w:b w:val="0"/>
                <w:sz w:val="18"/>
              </w:rPr>
              <w:t>0 h de desarrollo</w:t>
            </w:r>
          </w:p>
        </w:tc>
        <w:tc>
          <w:tcPr>
            <w:tcW w:type="dxa" w:w="2304"/>
          </w:tcPr>
          <w:p>
            <w:pPr>
              <w:spacing w:after="0"/>
            </w:pPr>
            <w:r>
              <w:rPr>
                <w:b w:val="0"/>
                <w:sz w:val="18"/>
              </w:rPr>
              <w:t>Sin cambios</w:t>
            </w:r>
          </w:p>
        </w:tc>
        <w:tc>
          <w:tcPr>
            <w:tcW w:type="dxa" w:w="3312"/>
          </w:tcPr>
          <w:p>
            <w:pPr>
              <w:spacing w:after="0"/>
            </w:pPr>
            <w:r>
              <w:rPr>
                <w:b w:val="0"/>
                <w:sz w:val="18"/>
              </w:rPr>
              <w:t>Se absorbe. Es una decisión de negocio que diferencia a la marca.</w:t>
            </w:r>
          </w:p>
        </w:tc>
      </w:tr>
      <w:tr>
        <w:tc>
          <w:tcPr>
            <w:tcW w:type="dxa" w:w="2304"/>
          </w:tcPr>
          <w:p>
            <w:pPr>
              <w:spacing w:after="0"/>
            </w:pPr>
            <w:r>
              <w:rPr>
                <w:b/>
                <w:sz w:val="18"/>
              </w:rPr>
              <w:t>SC-05 Imágenes con IA</w:t>
            </w:r>
          </w:p>
        </w:tc>
        <w:tc>
          <w:tcPr>
            <w:tcW w:type="dxa" w:w="1440"/>
          </w:tcPr>
          <w:p>
            <w:pPr>
              <w:spacing w:after="0"/>
            </w:pPr>
            <w:r>
              <w:rPr>
                <w:b w:val="0"/>
                <w:sz w:val="18"/>
              </w:rPr>
              <w:t>≈ 6 h si se hicieran ahora</w:t>
            </w:r>
          </w:p>
        </w:tc>
        <w:tc>
          <w:tcPr>
            <w:tcW w:type="dxa" w:w="2304"/>
          </w:tcPr>
          <w:p>
            <w:pPr>
              <w:spacing w:after="0"/>
            </w:pPr>
            <w:r>
              <w:rPr>
                <w:b w:val="0"/>
                <w:sz w:val="18"/>
              </w:rPr>
              <w:t>Negativa: no alcanza para 3.5, 3.6 y la carpeta</w:t>
            </w:r>
          </w:p>
        </w:tc>
        <w:tc>
          <w:tcPr>
            <w:tcW w:type="dxa" w:w="3312"/>
          </w:tcPr>
          <w:p>
            <w:pPr>
              <w:spacing w:after="0"/>
            </w:pPr>
            <w:r>
              <w:rPr>
                <w:b w:val="0"/>
                <w:sz w:val="18"/>
              </w:rPr>
              <w:t>Se posterga al Sprint 4. Mientras tanto se mantienen las láminas con el sello.</w:t>
            </w:r>
          </w:p>
        </w:tc>
      </w:tr>
    </w:tbl>
    <w:p/>
    <w:p>
      <w:pPr>
        <w:pStyle w:val="Heading1"/>
      </w:pPr>
      <w:r>
        <w:t>4. Detalle de las solicitudes del Sprint 3</w:t>
      </w:r>
    </w:p>
    <w:p>
      <w:pPr>
        <w:pStyle w:val="Heading2"/>
      </w:pPr>
      <w:r>
        <w:t>SC-02 · Filtros y buscador funcionales</w:t>
      </w:r>
    </w:p>
    <w:p>
      <w:r>
        <w:t>El HTML del Sprint 2 tenía chips de filtro y un buscador que no hacían nada: un defecto de usabilidad visible. Al generar las tarjetas con JavaScript, filtrarlas costaba poco. Impacto: alcance +1 funcionalidad, calidad mejor, sin efecto legal. Verificación: CP-05 a CP-09.</w:t>
      </w:r>
    </w:p>
    <w:p>
      <w:pPr>
        <w:pStyle w:val="Heading2"/>
      </w:pPr>
      <w:r>
        <w:t>SC-03 · Botón de arrepentimiento y enlace a la Ventanilla Única</w:t>
      </w:r>
    </w:p>
    <w:p>
      <w:r>
        <w:t>Al redactar la cláusula de arrepentimiento (Tarea 3.8) surgió que la Res. SCI 424/2020 exige un botón visible desde la página de inicio, y la Res. SCI 274/2021, un enlace a la Ventanilla Única Federal. La consigna no los pedía, pero la coherencia entre contrato y software sí. Impacto: cambia el encabezado de las tres páginas y suma una prueba automática. Verificación: CP-31 a CP-34.</w:t>
      </w:r>
    </w:p>
    <w:p>
      <w:pPr>
        <w:pStyle w:val="Heading2"/>
      </w:pPr>
      <w:r>
        <w:t>SC-04 · Garantía propia de 12 meses</w:t>
      </w:r>
    </w:p>
    <w:p>
      <w:r>
        <w:t>El riesgo principal de una talla en madera nativa es que se raje al cambiar el clima. Extender la garantía contra rajaduras refuerza la propuesta de valor sin costo de desarrollo. Impacto: costo teórico de reposición, a considerar en el modelo de negocio del Sprint 4.</w:t>
      </w:r>
    </w:p>
    <w:p>
      <w:pPr>
        <w:pStyle w:val="Heading2"/>
      </w:pPr>
      <w:r>
        <w:t>SC-05 · Imágenes con IA al Sprint 4</w:t>
      </w:r>
    </w:p>
    <w:p>
      <w:r>
        <w:t>Generar 12 imágenes coherentes, registrar la herramienta y el prompt de cada una (Declaración Ética de IA) y reemplazar las láminas por etiquetas &lt;img&gt; con texto alternativo lleva unas 6 horas. Hacerlo el 22/10 dejaría sin tiempo a las tareas 3.5 y 3.6, que se evalúan en este sprint. Impacto: el riesgo R6 se acepta un sprint más.</w:t>
      </w:r>
    </w:p>
    <w:p>
      <w:pPr>
        <w:pStyle w:val="Heading1"/>
      </w:pPr>
      <w:r>
        <w:t>5. Seguimiento en el tablero Kanban</w:t>
      </w:r>
    </w:p>
    <w:p>
      <w:r>
        <w:t>El 22/10 se cargaron en el tablero las tarjetas del Sprint 3, con responsable y la fecha planificada según el cronograma de la consigna. Las cuatro tareas terminadas (3.1, 3.2, 3.7 y 3.8) registran en su descripción el desvío respecto de esa fecha. Tablero: https://trello.com/b/iGCwIo1k/woodbird.</w:t>
      </w:r>
    </w:p>
    <w:p>
      <w:pPr>
        <w:pStyle w:val="Heading1"/>
      </w:pPr>
      <w:r>
        <w:t>Firma</w:t>
      </w:r>
    </w:p>
    <w:p>
      <w:r>
        <w:t>Registro actualizado al 22/10. La SC-01 se reitera ante el docente junto con la carpeta del Sprint 3.</w:t>
      </w:r>
    </w:p>
    <w:p>
      <w:r>
        <w:t>Project Manager: Reiss Jorge Nicolás</w:t>
      </w:r>
    </w:p>
    <w:p>
      <w:r>
        <w:t>Firma: ______________________________</w:t>
      </w:r>
    </w:p>
    <w:p>
      <w:r>
        <w:t>Fecha: ____ / ____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B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