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F4B3C"/>
          <w:sz w:val="36"/>
        </w:rPr>
        <w:t>MATRIZ Y REGISTRO DE RIESGOS</w:t>
      </w:r>
    </w:p>
    <w:p>
      <w:pPr>
        <w:spacing w:after="240"/>
      </w:pPr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Materia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Dirección y Gestión de Proyectos Tecnológicos (DGP)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Actividad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Sprint 2 — Semana 4 — Matriz y Registro de Riesgos (versión inicial)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Startup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Woodbird — Aves decorativas de madera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Autor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Reiss Jorge Nicolás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Docente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Ibañez Erick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Fecha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22 de septiembre de 2026</w:t>
            </w:r>
          </w:p>
        </w:tc>
      </w:tr>
    </w:tbl>
    <w:p/>
    <w:p>
      <w:pPr>
        <w:pStyle w:val="Heading1"/>
      </w:pPr>
      <w:r>
        <w:t>1. Objeto y metodología</w:t>
      </w:r>
    </w:p>
    <w:p>
      <w:pPr>
        <w:jc w:val="both"/>
      </w:pPr>
      <w:r>
        <w:t>Este documento identifica de forma proactiva los riesgos que pueden afectar el desarrollo de la plataforma Woodbird, los evalúa según su probabilidad de ocurrencia y su impacto, y define para cada uno un plan de acción preventivo y un plan de contingencia. Sigue el proceso de gestión de riesgos del PMI: identificar, analizar cualitativamente, planificar la respuesta y monitorear.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864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24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424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Muy baja: casi no hay antecedentes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Mínimo: no afecta ninguna entrega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Baja: podría ocurrir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Menor: retrabajo de menos de un día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Media: ocurre con cierta frecuencia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Moderado: atrasa un entregable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Alta: hay señales de que ocurrirá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Serio: compromete la nota de un sprint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Muy alta: ya está ocurriendo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Crítico: compromete la aprobación del proyecto</w:t>
            </w:r>
          </w:p>
        </w:tc>
      </w:tr>
    </w:tbl>
    <w:p>
      <w:pPr>
        <w:spacing w:after="40"/>
      </w:pPr>
    </w:p>
    <w:p>
      <w:pPr>
        <w:jc w:val="both"/>
      </w:pPr>
      <w:r>
        <w:t>El nivel de riesgo es el producto Probabilidad × Impacto. Se clasifica como Alto (15 a 25), que exige respuesta inmediata; Medio (8 a 12), que exige un plan de acción con fecha; y Bajo (1 a 6), que se monitorea. Las estrategias de respuesta son evitar, mitigar, transferir o aceptar.</w:t>
      </w:r>
    </w:p>
    <w:p>
      <w:pPr>
        <w:pStyle w:val="Heading1"/>
      </w:pPr>
      <w:r>
        <w:t>2. Registro de riesgos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576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8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1080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230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Disparador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R1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Sobrecarga del único integrante, que cubre los cuatro roles del proyecto, y consecuente incumplimiento de entregas.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Equipo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080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20 Alto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Dos o más tareas vencidas en la misma semana.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Arrastre de los atrasos del Sprint 1 hacia el Sprint 2 (materializado parcialmente: +18 días en el repositorio).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Tiempos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16 Alto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Desvío acumulado mayor a 5 días en cualquier paquete del Sprint 2.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campaña de Instagram prevista en la EDT no existe, lo que bloquea la estrategia de canales y el embudo de conversión.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Llegar al 24/09 sin cuenta comercial creada.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R4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Inconsistencia de alcance: el Acta prevé backend, base de datos y pagos reales de productos físicos, mientras que la consigna pide un catálogo de productos ficticios generados con IA y una compra simulada.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Observación del docente o requisito de un sprint que contradiga el Acta.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R5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formulario de checkout recolecta datos personales sin consentimiento informado ni política publicada, en infracción de la Ley 25.326.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Legal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Formulario publicado sin enlace a la política de privacidad.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R6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Las imágenes de producto no se generan a tiempo o la herramienta de IA elegida no permite el uso comercial.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Técnico / Legal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9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Semana 5 sin imágenes en assets/img/.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R7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Fallas de visualización responsive en algún navegador o dispositivo (por ejemplo, soporte del selector :has()).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Una prueba de la semana 6 muestra contenido cortado o superpuesto.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R8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Desincronización o pérdida de documentos, porque existen copias fuera del repositorio.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Gestión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08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Diferencias entre la versión local y la del repositorio.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R9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Caída o bloqueo de servicios externos (GitHub, Trello, Google Fonts) cerca de una entrega.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08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 Bajo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Servicio inaccesible el día de la entrega.</w:t>
            </w:r>
          </w:p>
        </w:tc>
      </w:tr>
    </w:tbl>
    <w:p>
      <w:pPr>
        <w:spacing w:after="40"/>
      </w:pPr>
    </w:p>
    <w:p>
      <w:pPr>
        <w:pStyle w:val="Heading1"/>
      </w:pPr>
      <w:r>
        <w:t>3. Matriz de probabilidad e impacto</w:t>
      </w:r>
    </w:p>
    <w:p>
      <w:pPr>
        <w:jc w:val="both"/>
      </w:pPr>
      <w:r>
        <w:t>Ubicación de cada riesgo según su evaluación. Las celdas se colorean por nivel.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 \ I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1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2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3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4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5</w:t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5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4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R3</w:t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R2</w:t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R1</w:t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3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R8</w:t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R6</w:t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R4, R5</w:t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2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R7</w:t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1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R9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</w:tbl>
    <w:p/>
    <w:p>
      <w:pPr>
        <w:pStyle w:val="Heading1"/>
      </w:pPr>
      <w:r>
        <w:t>4. Plan de respuesta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576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08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Estrategia</w:t>
            </w:r>
          </w:p>
        </w:tc>
        <w:tc>
          <w:tcPr>
            <w:tcW w:type="dxa" w:w="316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 de acción (preventivo)</w:t>
            </w:r>
          </w:p>
        </w:tc>
        <w:tc>
          <w:tcPr>
            <w:tcW w:type="dxa" w:w="3096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 de contingencia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R1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Timeboxing diario con al menos un entregable cerrado por día. Límite de dos tareas simultáneas en la columna «En progreso» del Kanban. Priorizar siempre el camino crítico.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Aplicar la autoridad del PM definida en el Acta: solicitar al docente la reprogramación de un entregable no crítico y reducir el alcance al mínimo exigido por la consigna.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Plan de recuperación con fechas nuevas (documento de Gantt, sección 7). Control del Gantt cada lunes contra la línea base de la EDT.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Adelantar tareas técnicas de la semana siguiente (fast tracking), como ya se hizo con el CSS y productos.json. Usar el colchón del 02/10.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Crear la cuenta comercial y publicar tres piezas mínimas antes del 24/09, reutilizando la identidad visual de los wireframes.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Documentar el embudo con maquetas de las publicaciones y métricas proyectadas, indicando explícitamente que son simuladas.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Responsable de Negocio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R4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la diferencia como solicitud de cambio y actualizar el Acta y la EDT para alinearlas con la consigna.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Consultar al docente, que según el Acta tiene la autoridad final sobre el alcance, y dejar asentada su decisión.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R5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Minimizar los campos al mínimo necesario, agregar casilla de consentimiento y enlace a la política, y aclarar que la compra es una simulación.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Deshabilitar el envío del formulario hasta publicar la política y mostrar un aviso visible de simulación.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Compliance Officer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R6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Elegir una herramienta cuyos términos permitan uso comercial, generar las 12 imágenes en la semana 5 y registrar herramienta y prompt de cada una.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Mantener las láminas de color con el sello «Imagen con IA», que el diseño ya soporta como marcador de posición.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Desarrollador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R7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Probar en Chrome, Edge, Firefox y un teléfono real durante la semana 6. Preferir propiedades con soporte amplio.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Aplicar un estilo alternativo de una sola columna para el componente afectado.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Desarrollador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R8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Usar el repositorio de GitHub como fuente única y subir cada documento al terminarlo.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Recuperar la última versión desde el historial de commits.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R9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Las fuentes tienen tipografías de respaldo en el CSS. Mantener una copia local actualizada del repositorio.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Entregar el proyecto como archivo ZIP junto con capturas del tablero Kanban.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Desarrollador</w:t>
            </w:r>
          </w:p>
        </w:tc>
      </w:tr>
    </w:tbl>
    <w:p>
      <w:pPr>
        <w:spacing w:after="40"/>
      </w:pPr>
    </w:p>
    <w:p>
      <w:pPr>
        <w:pStyle w:val="Heading1"/>
      </w:pPr>
      <w:r>
        <w:t>5. Seguimiento</w:t>
      </w:r>
    </w:p>
    <w:p>
      <w:pPr>
        <w:jc w:val="both"/>
      </w:pPr>
      <w:r>
        <w:t>Los riesgos R1 y R2 son de nivel Alto y ya muestran síntomas: el Sprint 1 cerró con atrasos y el repositorio acumuló 18 días de desvío. Por eso sus planes de acción se aplican desde esta semana. R3 debe resolverse antes del 24/09 porque bloquea el embudo de conversión.</w:t>
      </w:r>
    </w:p>
    <w:p>
      <w:pPr>
        <w:pStyle w:val="ListBullet"/>
        <w:spacing w:after="60"/>
      </w:pPr>
      <w:r>
        <w:rPr>
          <w:b/>
        </w:rPr>
        <w:t xml:space="preserve">Frecuencia de revisión. </w:t>
      </w:r>
      <w:r>
        <w:t>Cada lunes, junto con el control del diagrama de Gantt.</w:t>
      </w:r>
    </w:p>
    <w:p>
      <w:pPr>
        <w:pStyle w:val="ListBullet"/>
        <w:spacing w:after="60"/>
      </w:pPr>
      <w:r>
        <w:rPr>
          <w:b/>
        </w:rPr>
        <w:t xml:space="preserve">Registro. </w:t>
      </w:r>
      <w:r>
        <w:t>Los riesgos activos se cargan como tarjetas en el tablero Kanban, con la etiqueta «Riesgo».</w:t>
      </w:r>
    </w:p>
    <w:p>
      <w:pPr>
        <w:pStyle w:val="ListBullet"/>
        <w:spacing w:after="60"/>
      </w:pPr>
      <w:r>
        <w:rPr>
          <w:b/>
        </w:rPr>
        <w:t xml:space="preserve">Cierre. </w:t>
      </w:r>
      <w:r>
        <w:t>En la semana 6 (hasta el 02/10) se revisa cada riesgo, se registra si se materializó y qué respuesta se aplicó, y se firma el cierre de los riesgos del Sprint 2.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Calibri" w:hAnsi="Calibri"/>
      <w:b/>
      <w:bCs/>
      <w:color w:val="2F4B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