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4B3C"/>
          <w:sz w:val="36"/>
        </w:rPr>
        <w:t>ESTRUCTURA DE DESCOMPOSICIÓN DEL TRABAJO (EDT / WBS)</w:t>
      </w:r>
    </w:p>
    <w:p>
      <w:pPr>
        <w:jc w:val="center"/>
      </w:pPr>
      <w:r>
        <w:rPr>
          <w:i/>
          <w:color w:val="444444"/>
          <w:sz w:val="24"/>
        </w:rPr>
        <w:t>Woodbird — Aves decorativas de madera</w:t>
      </w:r>
    </w:p>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E8EDE9"/>
          </w:tcPr>
          <w:p>
            <w:r/>
            <w:r>
              <w:rPr>
                <w:b/>
                <w:sz w:val="20"/>
              </w:rPr>
              <w:t>Materia</w:t>
            </w:r>
          </w:p>
        </w:tc>
        <w:tc>
          <w:tcPr>
            <w:tcW w:type="dxa" w:w="6236"/>
          </w:tcPr>
          <w:p>
            <w:r/>
            <w:r>
              <w:rPr>
                <w:sz w:val="20"/>
              </w:rPr>
              <w:t>Dirección y Gestión de Proyectos Tecnológicos (DGP)</w:t>
            </w:r>
          </w:p>
        </w:tc>
      </w:tr>
      <w:tr>
        <w:tc>
          <w:tcPr>
            <w:tcW w:type="dxa" w:w="2268"/>
            <w:shd w:val="clear" w:color="auto" w:fill="E8EDE9"/>
          </w:tcPr>
          <w:p>
            <w:r/>
            <w:r>
              <w:rPr>
                <w:b/>
                <w:sz w:val="20"/>
              </w:rPr>
              <w:t>Actividad</w:t>
            </w:r>
          </w:p>
        </w:tc>
        <w:tc>
          <w:tcPr>
            <w:tcW w:type="dxa" w:w="6236"/>
          </w:tcPr>
          <w:p>
            <w:r/>
            <w:r>
              <w:rPr>
                <w:sz w:val="20"/>
              </w:rPr>
              <w:t>Sprint 1 — Semana 2 — Estructura de Descomposición del Trabajo</w:t>
            </w:r>
          </w:p>
        </w:tc>
      </w:tr>
      <w:tr>
        <w:tc>
          <w:tcPr>
            <w:tcW w:type="dxa" w:w="2268"/>
            <w:shd w:val="clear" w:color="auto" w:fill="E8EDE9"/>
          </w:tcPr>
          <w:p>
            <w:r/>
            <w:r>
              <w:rPr>
                <w:b/>
                <w:sz w:val="20"/>
              </w:rPr>
              <w:t>Startup</w:t>
            </w:r>
          </w:p>
        </w:tc>
        <w:tc>
          <w:tcPr>
            <w:tcW w:type="dxa" w:w="6236"/>
          </w:tcPr>
          <w:p>
            <w:r/>
            <w:r>
              <w:rPr>
                <w:sz w:val="20"/>
              </w:rPr>
              <w:t>Woodbird — Aves decorativas de madera</w:t>
            </w:r>
          </w:p>
        </w:tc>
      </w:tr>
      <w:tr>
        <w:tc>
          <w:tcPr>
            <w:tcW w:type="dxa" w:w="2268"/>
            <w:shd w:val="clear" w:color="auto" w:fill="E8EDE9"/>
          </w:tcPr>
          <w:p>
            <w:r/>
            <w:r>
              <w:rPr>
                <w:b/>
                <w:sz w:val="20"/>
              </w:rPr>
              <w:t>Autor</w:t>
            </w:r>
          </w:p>
        </w:tc>
        <w:tc>
          <w:tcPr>
            <w:tcW w:type="dxa" w:w="6236"/>
          </w:tcPr>
          <w:p>
            <w:r/>
            <w:r>
              <w:rPr>
                <w:sz w:val="20"/>
              </w:rPr>
              <w:t>Reiss Jorge Nicolás</w:t>
            </w:r>
          </w:p>
        </w:tc>
      </w:tr>
      <w:tr>
        <w:tc>
          <w:tcPr>
            <w:tcW w:type="dxa" w:w="2268"/>
            <w:shd w:val="clear" w:color="auto" w:fill="E8EDE9"/>
          </w:tcPr>
          <w:p>
            <w:r/>
            <w:r>
              <w:rPr>
                <w:b/>
                <w:sz w:val="20"/>
              </w:rPr>
              <w:t>Docente</w:t>
            </w:r>
          </w:p>
        </w:tc>
        <w:tc>
          <w:tcPr>
            <w:tcW w:type="dxa" w:w="6236"/>
          </w:tcPr>
          <w:p>
            <w:r/>
            <w:r>
              <w:rPr>
                <w:sz w:val="20"/>
              </w:rPr>
              <w:t>Ibañez Erick</w:t>
            </w:r>
          </w:p>
        </w:tc>
      </w:tr>
      <w:tr>
        <w:tc>
          <w:tcPr>
            <w:tcW w:type="dxa" w:w="2268"/>
            <w:shd w:val="clear" w:color="auto" w:fill="E8EDE9"/>
          </w:tcPr>
          <w:p>
            <w:r/>
            <w:r>
              <w:rPr>
                <w:b/>
                <w:sz w:val="20"/>
              </w:rPr>
              <w:t>Fecha</w:t>
            </w:r>
          </w:p>
        </w:tc>
        <w:tc>
          <w:tcPr>
            <w:tcW w:type="dxa" w:w="6236"/>
          </w:tcPr>
          <w:p>
            <w:r/>
            <w:r>
              <w:rPr>
                <w:sz w:val="20"/>
              </w:rPr>
              <w:t>14 de septiembre de 2026</w:t>
            </w:r>
          </w:p>
        </w:tc>
      </w:tr>
    </w:tbl>
    <w:p/>
    <w:p>
      <w:pPr>
        <w:pStyle w:val="Heading1"/>
      </w:pPr>
      <w:r>
        <w:rPr>
          <w:rFonts w:ascii="Calibri" w:hAnsi="Calibri"/>
          <w:color w:val="2F4B3C"/>
        </w:rPr>
        <w:t>1. Objeto y metodología</w:t>
      </w:r>
    </w:p>
    <w:p>
      <w:pPr>
        <w:jc w:val="both"/>
      </w:pPr>
      <w:r>
        <w:rPr>
          <w:b w:val="0"/>
          <w:i w:val="0"/>
        </w:rPr>
        <w:t>El presente documento desglosa jerárquicamente la totalidad del proyecto Woodbird en paquetes de trabajo manejables, siguiendo el estándar de Estructura de Descomposición del Trabajo (EDT / Work Breakdown Structure) del Project Management Institute (PMI). La descomposición se realiza de arriba hacia abajo (top-down): el proyecto se divide primero en las cuatro grandes áreas que articulan las unidades curriculares del proyecto interdisciplinar (Desarrollo de Software, Marco Legal, Marketing y Emprendedorismo, y Gestión del Proyecto), y cada área se subdivide a su vez en paquetes de trabajo acotados a una o más semanas del cronograma.</w:t>
      </w:r>
    </w:p>
    <w:p>
      <w:pPr>
        <w:jc w:val="both"/>
      </w:pPr>
      <w:r>
        <w:rPr>
          <w:b w:val="0"/>
          <w:i w:val="0"/>
        </w:rPr>
        <w:t>Se aplica el criterio conocido como regla del 100%: la suma de los paquetes de trabajo de cada rama representa la totalidad del alcance de esa rama, sin superposiciones entre ramas distintas. El nivel de detalle elegido (paquetes de una a tres semanas de duración) resulta manejable para un equipo de un integrante que asume simultáneamente los roles de Project Manager y Lead Developer, conforme a lo establecido en el Acta de Constitución del Proyecto.</w:t>
      </w:r>
    </w:p>
    <w:p>
      <w:pPr>
        <w:ind w:left="283"/>
      </w:pPr>
      <w:r>
        <w:rPr>
          <w:i/>
          <w:color w:val="444444"/>
          <w:sz w:val="19"/>
        </w:rPr>
        <w:t>Nota metodológica. Al momento de redactar este documento, la cátedra publicó el detalle formal de actividades de los Sprints 1 y 2 (semanas 1 a 6). Los paquetes de trabajo correspondientes a las semanas 7 a 11 (Sprints 3 y 4) se proyectan a partir de los hitos ya definidos en el Acta de Constitución del Proyecto (desarrollo de backend, integración de pagos, pruebas funcionales y cierre) y se ajustarán cuando el docente publique las guías formales de esos Sprints.</w:t>
      </w:r>
    </w:p>
    <w:p>
      <w:pPr>
        <w:pStyle w:val="Heading1"/>
      </w:pPr>
      <w:r>
        <w:rPr>
          <w:rFonts w:ascii="Calibri" w:hAnsi="Calibri"/>
          <w:color w:val="2F4B3C"/>
        </w:rPr>
        <w:t>2. Diagrama jerárquico</w:t>
      </w:r>
    </w:p>
    <w:p>
      <w:pPr>
        <w:jc w:val="both"/>
      </w:pPr>
      <w:r>
        <w:rPr>
          <w:b w:val="0"/>
          <w:i w:val="0"/>
        </w:rPr>
        <w:t>El diagrama siguiente representa los dos primeros niveles de la EDT: las cuatro ramas del proyecto y, dentro de cada una, la agrupación de paquetes de trabajo por Sprint. El detalle completo de cada paquete se desarrolla en el diccionario EDT de la sección 3.</w:t>
      </w:r>
    </w:p>
    <w:p>
      <w:pPr>
        <w:jc w:val="center"/>
      </w:pPr>
      <w:r>
        <w:drawing>
          <wp:inline xmlns:a="http://schemas.openxmlformats.org/drawingml/2006/main" xmlns:pic="http://schemas.openxmlformats.org/drawingml/2006/picture">
            <wp:extent cx="6120000" cy="4701457"/>
            <wp:docPr id="1" name="Picture 1"/>
            <wp:cNvGraphicFramePr>
              <a:graphicFrameLocks noChangeAspect="1"/>
            </wp:cNvGraphicFramePr>
            <a:graphic>
              <a:graphicData uri="http://schemas.openxmlformats.org/drawingml/2006/picture">
                <pic:pic>
                  <pic:nvPicPr>
                    <pic:cNvPr id="0" name="wbs_woodbird.png"/>
                    <pic:cNvPicPr/>
                  </pic:nvPicPr>
                  <pic:blipFill>
                    <a:blip r:embed="rId9"/>
                    <a:stretch>
                      <a:fillRect/>
                    </a:stretch>
                  </pic:blipFill>
                  <pic:spPr>
                    <a:xfrm>
                      <a:off x="0" y="0"/>
                      <a:ext cx="6120000" cy="4701457"/>
                    </a:xfrm>
                    <a:prstGeom prst="rect"/>
                  </pic:spPr>
                </pic:pic>
              </a:graphicData>
            </a:graphic>
          </wp:inline>
        </w:drawing>
      </w:r>
    </w:p>
    <w:p>
      <w:r>
        <w:br w:type="page"/>
      </w:r>
    </w:p>
    <w:p>
      <w:pPr>
        <w:pStyle w:val="Heading1"/>
      </w:pPr>
      <w:r>
        <w:rPr>
          <w:rFonts w:ascii="Calibri" w:hAnsi="Calibri"/>
          <w:color w:val="2F4B3C"/>
        </w:rPr>
        <w:t>3. Diccionario EDT</w:t>
      </w:r>
    </w:p>
    <w:p>
      <w:pPr>
        <w:jc w:val="both"/>
      </w:pPr>
      <w:r>
        <w:rPr>
          <w:b w:val="0"/>
          <w:i w:val="0"/>
        </w:rPr>
        <w:t>La siguiente tabla detalla, para cada paquete de trabajo, el código jerárquico, la semana o rango de semanas del cronograma, el entregable concreto que produce y el responsable a cargo. Dado que el equipo está conformado por un único integrante, el responsable de todos los paquetes es Reiss Jorge Nicolás, en su doble rol de Project Manager y Lead Developer definido en el Acta de Constitución.</w:t>
      </w:r>
    </w:p>
    <w:p>
      <w:pPr>
        <w:pStyle w:val="Heading2"/>
      </w:pPr>
      <w:r>
        <w:rPr>
          <w:rFonts w:ascii="Calibri" w:hAnsi="Calibri"/>
          <w:color w:val="2F4B3C"/>
        </w:rPr>
        <w:t>3.1. Rama 1.0 — Desarrollo de Software</w:t>
      </w:r>
    </w:p>
    <w:tbl>
      <w:tblPr>
        <w:tblStyle w:val="TableGrid"/>
        <w:tblW w:type="auto" w:w="0"/>
        <w:tblLook w:firstColumn="1" w:firstRow="1" w:lastColumn="0" w:lastRow="0" w:noHBand="0" w:noVBand="1" w:val="04A0"/>
      </w:tblPr>
      <w:tblGrid>
        <w:gridCol w:w="2160"/>
        <w:gridCol w:w="2160"/>
        <w:gridCol w:w="2160"/>
        <w:gridCol w:w="2160"/>
      </w:tblGrid>
      <w:tr>
        <w:tc>
          <w:tcPr>
            <w:tcW w:type="dxa" w:w="850"/>
            <w:shd w:val="clear" w:color="auto" w:fill="3F6B52"/>
          </w:tcPr>
          <w:p>
            <w:r/>
            <w:r>
              <w:rPr>
                <w:b/>
                <w:color w:val="FFFFFF"/>
                <w:sz w:val="18"/>
              </w:rPr>
              <w:t>Código</w:t>
            </w:r>
          </w:p>
        </w:tc>
        <w:tc>
          <w:tcPr>
            <w:tcW w:type="dxa" w:w="4819"/>
            <w:shd w:val="clear" w:color="auto" w:fill="3F6B52"/>
          </w:tcPr>
          <w:p>
            <w:r/>
            <w:r>
              <w:rPr>
                <w:b/>
                <w:color w:val="FFFFFF"/>
                <w:sz w:val="18"/>
              </w:rPr>
              <w:t>Paquete de trabajo</w:t>
            </w:r>
          </w:p>
        </w:tc>
        <w:tc>
          <w:tcPr>
            <w:tcW w:type="dxa" w:w="1134"/>
            <w:shd w:val="clear" w:color="auto" w:fill="3F6B52"/>
          </w:tcPr>
          <w:p>
            <w:r/>
            <w:r>
              <w:rPr>
                <w:b/>
                <w:color w:val="FFFFFF"/>
                <w:sz w:val="18"/>
              </w:rPr>
              <w:t>Semana</w:t>
            </w:r>
          </w:p>
        </w:tc>
        <w:tc>
          <w:tcPr>
            <w:tcW w:type="dxa" w:w="2835"/>
            <w:shd w:val="clear" w:color="auto" w:fill="3F6B52"/>
          </w:tcPr>
          <w:p>
            <w:r/>
            <w:r>
              <w:rPr>
                <w:b/>
                <w:color w:val="FFFFFF"/>
                <w:sz w:val="18"/>
              </w:rPr>
              <w:t>Entregable</w:t>
            </w:r>
          </w:p>
        </w:tc>
      </w:tr>
      <w:tr>
        <w:tc>
          <w:tcPr>
            <w:tcW w:type="dxa" w:w="850"/>
          </w:tcPr>
          <w:p>
            <w:r/>
            <w:r>
              <w:rPr>
                <w:sz w:val="18"/>
              </w:rPr>
              <w:t>1.1</w:t>
            </w:r>
          </w:p>
        </w:tc>
        <w:tc>
          <w:tcPr>
            <w:tcW w:type="dxa" w:w="4819"/>
          </w:tcPr>
          <w:p>
            <w:r/>
            <w:r>
              <w:rPr>
                <w:sz w:val="18"/>
              </w:rPr>
              <w:t>Diseño de interfaz y wireframes (Home, Catálogo, Checkout)</w:t>
            </w:r>
          </w:p>
        </w:tc>
        <w:tc>
          <w:tcPr>
            <w:tcW w:type="dxa" w:w="1134"/>
          </w:tcPr>
          <w:p>
            <w:r/>
            <w:r>
              <w:rPr>
                <w:sz w:val="18"/>
              </w:rPr>
              <w:t>S1</w:t>
            </w:r>
          </w:p>
        </w:tc>
        <w:tc>
          <w:tcPr>
            <w:tcW w:type="dxa" w:w="2835"/>
          </w:tcPr>
          <w:p>
            <w:r/>
            <w:r>
              <w:rPr>
                <w:sz w:val="18"/>
              </w:rPr>
              <w:t>Wireframes documentados</w:t>
            </w:r>
          </w:p>
        </w:tc>
      </w:tr>
      <w:tr>
        <w:tc>
          <w:tcPr>
            <w:tcW w:type="dxa" w:w="850"/>
          </w:tcPr>
          <w:p>
            <w:r/>
            <w:r>
              <w:rPr>
                <w:sz w:val="18"/>
              </w:rPr>
              <w:t>1.2</w:t>
            </w:r>
          </w:p>
        </w:tc>
        <w:tc>
          <w:tcPr>
            <w:tcW w:type="dxa" w:w="4819"/>
          </w:tcPr>
          <w:p>
            <w:r/>
            <w:r>
              <w:rPr>
                <w:sz w:val="18"/>
              </w:rPr>
              <w:t>Configuración de entorno (VS Code) y repositorio Git en GitHub</w:t>
            </w:r>
          </w:p>
        </w:tc>
        <w:tc>
          <w:tcPr>
            <w:tcW w:type="dxa" w:w="1134"/>
          </w:tcPr>
          <w:p>
            <w:r/>
            <w:r>
              <w:rPr>
                <w:sz w:val="18"/>
              </w:rPr>
              <w:t>S2</w:t>
            </w:r>
          </w:p>
        </w:tc>
        <w:tc>
          <w:tcPr>
            <w:tcW w:type="dxa" w:w="2835"/>
          </w:tcPr>
          <w:p>
            <w:r/>
            <w:r>
              <w:rPr>
                <w:sz w:val="18"/>
              </w:rPr>
              <w:t>Repositorio con /css /js /assets</w:t>
            </w:r>
          </w:p>
        </w:tc>
      </w:tr>
      <w:tr>
        <w:tc>
          <w:tcPr>
            <w:tcW w:type="dxa" w:w="850"/>
          </w:tcPr>
          <w:p>
            <w:r/>
            <w:r>
              <w:rPr>
                <w:sz w:val="18"/>
              </w:rPr>
              <w:t>1.3</w:t>
            </w:r>
          </w:p>
        </w:tc>
        <w:tc>
          <w:tcPr>
            <w:tcW w:type="dxa" w:w="4819"/>
          </w:tcPr>
          <w:p>
            <w:r/>
            <w:r>
              <w:rPr>
                <w:sz w:val="18"/>
              </w:rPr>
              <w:t>Estructura HTML5 semántica inicial</w:t>
            </w:r>
          </w:p>
        </w:tc>
        <w:tc>
          <w:tcPr>
            <w:tcW w:type="dxa" w:w="1134"/>
          </w:tcPr>
          <w:p>
            <w:r/>
            <w:r>
              <w:rPr>
                <w:sz w:val="18"/>
              </w:rPr>
              <w:t>S3</w:t>
            </w:r>
          </w:p>
        </w:tc>
        <w:tc>
          <w:tcPr>
            <w:tcW w:type="dxa" w:w="2835"/>
          </w:tcPr>
          <w:p>
            <w:r/>
            <w:r>
              <w:rPr>
                <w:sz w:val="18"/>
              </w:rPr>
              <w:t>index.html</w:t>
            </w:r>
          </w:p>
        </w:tc>
      </w:tr>
      <w:tr>
        <w:tc>
          <w:tcPr>
            <w:tcW w:type="dxa" w:w="850"/>
          </w:tcPr>
          <w:p>
            <w:r/>
            <w:r>
              <w:rPr>
                <w:sz w:val="18"/>
              </w:rPr>
              <w:t>1.4</w:t>
            </w:r>
          </w:p>
        </w:tc>
        <w:tc>
          <w:tcPr>
            <w:tcW w:type="dxa" w:w="4819"/>
          </w:tcPr>
          <w:p>
            <w:r/>
            <w:r>
              <w:rPr>
                <w:sz w:val="18"/>
              </w:rPr>
              <w:t>Maquetación visual adaptable con Flexbox y CSS Grid</w:t>
            </w:r>
          </w:p>
        </w:tc>
        <w:tc>
          <w:tcPr>
            <w:tcW w:type="dxa" w:w="1134"/>
          </w:tcPr>
          <w:p>
            <w:r/>
            <w:r>
              <w:rPr>
                <w:sz w:val="18"/>
              </w:rPr>
              <w:t>S4-S5</w:t>
            </w:r>
          </w:p>
        </w:tc>
        <w:tc>
          <w:tcPr>
            <w:tcW w:type="dxa" w:w="2835"/>
          </w:tcPr>
          <w:p>
            <w:r/>
            <w:r>
              <w:rPr>
                <w:sz w:val="18"/>
              </w:rPr>
              <w:t>Hoja de estilos /css/style.css</w:t>
            </w:r>
          </w:p>
        </w:tc>
      </w:tr>
      <w:tr>
        <w:tc>
          <w:tcPr>
            <w:tcW w:type="dxa" w:w="850"/>
          </w:tcPr>
          <w:p>
            <w:r/>
            <w:r>
              <w:rPr>
                <w:sz w:val="18"/>
              </w:rPr>
              <w:t>1.5</w:t>
            </w:r>
          </w:p>
        </w:tc>
        <w:tc>
          <w:tcPr>
            <w:tcW w:type="dxa" w:w="4819"/>
          </w:tcPr>
          <w:p>
            <w:r/>
            <w:r>
              <w:rPr>
                <w:sz w:val="18"/>
              </w:rPr>
              <w:t>Estructuración de datos del catálogo</w:t>
            </w:r>
          </w:p>
        </w:tc>
        <w:tc>
          <w:tcPr>
            <w:tcW w:type="dxa" w:w="1134"/>
          </w:tcPr>
          <w:p>
            <w:r/>
            <w:r>
              <w:rPr>
                <w:sz w:val="18"/>
              </w:rPr>
              <w:t>S5</w:t>
            </w:r>
          </w:p>
        </w:tc>
        <w:tc>
          <w:tcPr>
            <w:tcW w:type="dxa" w:w="2835"/>
          </w:tcPr>
          <w:p>
            <w:r/>
            <w:r>
              <w:rPr>
                <w:sz w:val="18"/>
              </w:rPr>
              <w:t>productos.json</w:t>
            </w:r>
          </w:p>
        </w:tc>
      </w:tr>
      <w:tr>
        <w:tc>
          <w:tcPr>
            <w:tcW w:type="dxa" w:w="850"/>
          </w:tcPr>
          <w:p>
            <w:r/>
            <w:r>
              <w:rPr>
                <w:sz w:val="18"/>
              </w:rPr>
              <w:t>1.6</w:t>
            </w:r>
          </w:p>
        </w:tc>
        <w:tc>
          <w:tcPr>
            <w:tcW w:type="dxa" w:w="4819"/>
          </w:tcPr>
          <w:p>
            <w:r/>
            <w:r>
              <w:rPr>
                <w:sz w:val="18"/>
              </w:rPr>
              <w:t>Pruebas de usabilidad responsive</w:t>
            </w:r>
          </w:p>
        </w:tc>
        <w:tc>
          <w:tcPr>
            <w:tcW w:type="dxa" w:w="1134"/>
          </w:tcPr>
          <w:p>
            <w:r/>
            <w:r>
              <w:rPr>
                <w:sz w:val="18"/>
              </w:rPr>
              <w:t>S6</w:t>
            </w:r>
          </w:p>
        </w:tc>
        <w:tc>
          <w:tcPr>
            <w:tcW w:type="dxa" w:w="2835"/>
          </w:tcPr>
          <w:p>
            <w:r/>
            <w:r>
              <w:rPr>
                <w:sz w:val="18"/>
              </w:rPr>
              <w:t>Reporte de pruebas cross-device</w:t>
            </w:r>
          </w:p>
        </w:tc>
      </w:tr>
      <w:tr>
        <w:tc>
          <w:tcPr>
            <w:tcW w:type="dxa" w:w="850"/>
          </w:tcPr>
          <w:p>
            <w:r/>
            <w:r>
              <w:rPr>
                <w:sz w:val="18"/>
              </w:rPr>
              <w:t>1.7</w:t>
            </w:r>
          </w:p>
        </w:tc>
        <w:tc>
          <w:tcPr>
            <w:tcW w:type="dxa" w:w="4819"/>
          </w:tcPr>
          <w:p>
            <w:r/>
            <w:r>
              <w:rPr>
                <w:sz w:val="18"/>
              </w:rPr>
              <w:t>Desarrollo de backend y modelado de base de datos</w:t>
            </w:r>
          </w:p>
        </w:tc>
        <w:tc>
          <w:tcPr>
            <w:tcW w:type="dxa" w:w="1134"/>
          </w:tcPr>
          <w:p>
            <w:r/>
            <w:r>
              <w:rPr>
                <w:sz w:val="18"/>
              </w:rPr>
              <w:t>S7-S8</w:t>
            </w:r>
          </w:p>
        </w:tc>
        <w:tc>
          <w:tcPr>
            <w:tcW w:type="dxa" w:w="2835"/>
          </w:tcPr>
          <w:p>
            <w:r/>
            <w:r>
              <w:rPr>
                <w:sz w:val="18"/>
              </w:rPr>
              <w:t>Backend + esquema de base de datos</w:t>
            </w:r>
          </w:p>
        </w:tc>
      </w:tr>
      <w:tr>
        <w:tc>
          <w:tcPr>
            <w:tcW w:type="dxa" w:w="850"/>
          </w:tcPr>
          <w:p>
            <w:r/>
            <w:r>
              <w:rPr>
                <w:sz w:val="18"/>
              </w:rPr>
              <w:t>1.8</w:t>
            </w:r>
          </w:p>
        </w:tc>
        <w:tc>
          <w:tcPr>
            <w:tcW w:type="dxa" w:w="4819"/>
          </w:tcPr>
          <w:p>
            <w:r/>
            <w:r>
              <w:rPr>
                <w:sz w:val="18"/>
              </w:rPr>
              <w:t>Integración del sistema de pagos (simulado)</w:t>
            </w:r>
          </w:p>
        </w:tc>
        <w:tc>
          <w:tcPr>
            <w:tcW w:type="dxa" w:w="1134"/>
          </w:tcPr>
          <w:p>
            <w:r/>
            <w:r>
              <w:rPr>
                <w:sz w:val="18"/>
              </w:rPr>
              <w:t>S9</w:t>
            </w:r>
          </w:p>
        </w:tc>
        <w:tc>
          <w:tcPr>
            <w:tcW w:type="dxa" w:w="2835"/>
          </w:tcPr>
          <w:p>
            <w:r/>
            <w:r>
              <w:rPr>
                <w:sz w:val="18"/>
              </w:rPr>
              <w:t>Checkout con pasarela simulada</w:t>
            </w:r>
          </w:p>
        </w:tc>
      </w:tr>
      <w:tr>
        <w:tc>
          <w:tcPr>
            <w:tcW w:type="dxa" w:w="850"/>
          </w:tcPr>
          <w:p>
            <w:r/>
            <w:r>
              <w:rPr>
                <w:sz w:val="18"/>
              </w:rPr>
              <w:t>1.9</w:t>
            </w:r>
          </w:p>
        </w:tc>
        <w:tc>
          <w:tcPr>
            <w:tcW w:type="dxa" w:w="4819"/>
          </w:tcPr>
          <w:p>
            <w:r/>
            <w:r>
              <w:rPr>
                <w:sz w:val="18"/>
              </w:rPr>
              <w:t>Pruebas funcionales del proceso de compra</w:t>
            </w:r>
          </w:p>
        </w:tc>
        <w:tc>
          <w:tcPr>
            <w:tcW w:type="dxa" w:w="1134"/>
          </w:tcPr>
          <w:p>
            <w:r/>
            <w:r>
              <w:rPr>
                <w:sz w:val="18"/>
              </w:rPr>
              <w:t>S10</w:t>
            </w:r>
          </w:p>
        </w:tc>
        <w:tc>
          <w:tcPr>
            <w:tcW w:type="dxa" w:w="2835"/>
          </w:tcPr>
          <w:p>
            <w:r/>
            <w:r>
              <w:rPr>
                <w:sz w:val="18"/>
              </w:rPr>
              <w:t>Reporte de pruebas end-to-end</w:t>
            </w:r>
          </w:p>
        </w:tc>
      </w:tr>
      <w:tr>
        <w:tc>
          <w:tcPr>
            <w:tcW w:type="dxa" w:w="850"/>
          </w:tcPr>
          <w:p>
            <w:r/>
            <w:r>
              <w:rPr>
                <w:sz w:val="18"/>
              </w:rPr>
              <w:t>1.10</w:t>
            </w:r>
          </w:p>
        </w:tc>
        <w:tc>
          <w:tcPr>
            <w:tcW w:type="dxa" w:w="4819"/>
          </w:tcPr>
          <w:p>
            <w:r/>
            <w:r>
              <w:rPr>
                <w:sz w:val="18"/>
              </w:rPr>
              <w:t>Corrección de errores y ajustes finales</w:t>
            </w:r>
          </w:p>
        </w:tc>
        <w:tc>
          <w:tcPr>
            <w:tcW w:type="dxa" w:w="1134"/>
          </w:tcPr>
          <w:p>
            <w:r/>
            <w:r>
              <w:rPr>
                <w:sz w:val="18"/>
              </w:rPr>
              <w:t>S11</w:t>
            </w:r>
          </w:p>
        </w:tc>
        <w:tc>
          <w:tcPr>
            <w:tcW w:type="dxa" w:w="2835"/>
          </w:tcPr>
          <w:p>
            <w:r/>
            <w:r>
              <w:rPr>
                <w:sz w:val="18"/>
              </w:rPr>
              <w:t>Build final estable</w:t>
            </w:r>
          </w:p>
        </w:tc>
      </w:tr>
    </w:tbl>
    <w:p/>
    <w:p>
      <w:pPr>
        <w:pStyle w:val="Heading2"/>
      </w:pPr>
      <w:r>
        <w:rPr>
          <w:rFonts w:ascii="Calibri" w:hAnsi="Calibri"/>
          <w:color w:val="2F4B3C"/>
        </w:rPr>
        <w:t>3.2. Rama 2.0 — Marco Legal</w:t>
      </w:r>
    </w:p>
    <w:tbl>
      <w:tblPr>
        <w:tblStyle w:val="TableGrid"/>
        <w:tblW w:type="auto" w:w="0"/>
        <w:tblLook w:firstColumn="1" w:firstRow="1" w:lastColumn="0" w:lastRow="0" w:noHBand="0" w:noVBand="1" w:val="04A0"/>
      </w:tblPr>
      <w:tblGrid>
        <w:gridCol w:w="2160"/>
        <w:gridCol w:w="2160"/>
        <w:gridCol w:w="2160"/>
        <w:gridCol w:w="2160"/>
      </w:tblGrid>
      <w:tr>
        <w:tc>
          <w:tcPr>
            <w:tcW w:type="dxa" w:w="850"/>
            <w:shd w:val="clear" w:color="auto" w:fill="3F6B52"/>
          </w:tcPr>
          <w:p>
            <w:r/>
            <w:r>
              <w:rPr>
                <w:b/>
                <w:color w:val="FFFFFF"/>
                <w:sz w:val="18"/>
              </w:rPr>
              <w:t>Código</w:t>
            </w:r>
          </w:p>
        </w:tc>
        <w:tc>
          <w:tcPr>
            <w:tcW w:type="dxa" w:w="4819"/>
            <w:shd w:val="clear" w:color="auto" w:fill="3F6B52"/>
          </w:tcPr>
          <w:p>
            <w:r/>
            <w:r>
              <w:rPr>
                <w:b/>
                <w:color w:val="FFFFFF"/>
                <w:sz w:val="18"/>
              </w:rPr>
              <w:t>Paquete de trabajo</w:t>
            </w:r>
          </w:p>
        </w:tc>
        <w:tc>
          <w:tcPr>
            <w:tcW w:type="dxa" w:w="1134"/>
            <w:shd w:val="clear" w:color="auto" w:fill="3F6B52"/>
          </w:tcPr>
          <w:p>
            <w:r/>
            <w:r>
              <w:rPr>
                <w:b/>
                <w:color w:val="FFFFFF"/>
                <w:sz w:val="18"/>
              </w:rPr>
              <w:t>Semana</w:t>
            </w:r>
          </w:p>
        </w:tc>
        <w:tc>
          <w:tcPr>
            <w:tcW w:type="dxa" w:w="2835"/>
            <w:shd w:val="clear" w:color="auto" w:fill="3F6B52"/>
          </w:tcPr>
          <w:p>
            <w:r/>
            <w:r>
              <w:rPr>
                <w:b/>
                <w:color w:val="FFFFFF"/>
                <w:sz w:val="18"/>
              </w:rPr>
              <w:t>Entregable</w:t>
            </w:r>
          </w:p>
        </w:tc>
      </w:tr>
      <w:tr>
        <w:tc>
          <w:tcPr>
            <w:tcW w:type="dxa" w:w="850"/>
          </w:tcPr>
          <w:p>
            <w:r/>
            <w:r>
              <w:rPr>
                <w:sz w:val="18"/>
              </w:rPr>
              <w:t>2.1</w:t>
            </w:r>
          </w:p>
        </w:tc>
        <w:tc>
          <w:tcPr>
            <w:tcW w:type="dxa" w:w="4819"/>
          </w:tcPr>
          <w:p>
            <w:r/>
            <w:r>
              <w:rPr>
                <w:sz w:val="18"/>
              </w:rPr>
              <w:t>Viabilidad de marca y registro de dominio (INPI / NIC Argentina)</w:t>
            </w:r>
          </w:p>
        </w:tc>
        <w:tc>
          <w:tcPr>
            <w:tcW w:type="dxa" w:w="1134"/>
          </w:tcPr>
          <w:p>
            <w:r/>
            <w:r>
              <w:rPr>
                <w:sz w:val="18"/>
              </w:rPr>
              <w:t>S1</w:t>
            </w:r>
          </w:p>
        </w:tc>
        <w:tc>
          <w:tcPr>
            <w:tcW w:type="dxa" w:w="2835"/>
          </w:tcPr>
          <w:p>
            <w:r/>
            <w:r>
              <w:rPr>
                <w:sz w:val="18"/>
              </w:rPr>
              <w:t>Informe de Marca y Dominios</w:t>
            </w:r>
          </w:p>
        </w:tc>
      </w:tr>
      <w:tr>
        <w:tc>
          <w:tcPr>
            <w:tcW w:type="dxa" w:w="850"/>
          </w:tcPr>
          <w:p>
            <w:r/>
            <w:r>
              <w:rPr>
                <w:sz w:val="18"/>
              </w:rPr>
              <w:t>2.2</w:t>
            </w:r>
          </w:p>
        </w:tc>
        <w:tc>
          <w:tcPr>
            <w:tcW w:type="dxa" w:w="4819"/>
          </w:tcPr>
          <w:p>
            <w:r/>
            <w:r>
              <w:rPr>
                <w:sz w:val="18"/>
              </w:rPr>
              <w:t>Declaración ética de uso de IA (contenido sintético)</w:t>
            </w:r>
          </w:p>
        </w:tc>
        <w:tc>
          <w:tcPr>
            <w:tcW w:type="dxa" w:w="1134"/>
          </w:tcPr>
          <w:p>
            <w:r/>
            <w:r>
              <w:rPr>
                <w:sz w:val="18"/>
              </w:rPr>
              <w:t>S2</w:t>
            </w:r>
          </w:p>
        </w:tc>
        <w:tc>
          <w:tcPr>
            <w:tcW w:type="dxa" w:w="2835"/>
          </w:tcPr>
          <w:p>
            <w:r/>
            <w:r>
              <w:rPr>
                <w:sz w:val="18"/>
              </w:rPr>
              <w:t>Declaración ética y de transparencia</w:t>
            </w:r>
          </w:p>
        </w:tc>
      </w:tr>
      <w:tr>
        <w:tc>
          <w:tcPr>
            <w:tcW w:type="dxa" w:w="850"/>
          </w:tcPr>
          <w:p>
            <w:r/>
            <w:r>
              <w:rPr>
                <w:sz w:val="18"/>
              </w:rPr>
              <w:t>2.3</w:t>
            </w:r>
          </w:p>
        </w:tc>
        <w:tc>
          <w:tcPr>
            <w:tcW w:type="dxa" w:w="4819"/>
          </w:tcPr>
          <w:p>
            <w:r/>
            <w:r>
              <w:rPr>
                <w:sz w:val="18"/>
              </w:rPr>
              <w:t>Política de privacidad y Habeas Data (Ley 25.326)</w:t>
            </w:r>
          </w:p>
        </w:tc>
        <w:tc>
          <w:tcPr>
            <w:tcW w:type="dxa" w:w="1134"/>
          </w:tcPr>
          <w:p>
            <w:r/>
            <w:r>
              <w:rPr>
                <w:sz w:val="18"/>
              </w:rPr>
              <w:t>S5</w:t>
            </w:r>
          </w:p>
        </w:tc>
        <w:tc>
          <w:tcPr>
            <w:tcW w:type="dxa" w:w="2835"/>
          </w:tcPr>
          <w:p>
            <w:r/>
            <w:r>
              <w:rPr>
                <w:sz w:val="18"/>
              </w:rPr>
              <w:t>Cláusula de privacidad redactada</w:t>
            </w:r>
          </w:p>
        </w:tc>
      </w:tr>
      <w:tr>
        <w:tc>
          <w:tcPr>
            <w:tcW w:type="dxa" w:w="850"/>
          </w:tcPr>
          <w:p>
            <w:r/>
            <w:r>
              <w:rPr>
                <w:sz w:val="18"/>
              </w:rPr>
              <w:t>2.4</w:t>
            </w:r>
          </w:p>
        </w:tc>
        <w:tc>
          <w:tcPr>
            <w:tcW w:type="dxa" w:w="4819"/>
          </w:tcPr>
          <w:p>
            <w:r/>
            <w:r>
              <w:rPr>
                <w:sz w:val="18"/>
              </w:rPr>
              <w:t>Justificación del modelo de licenciamiento (GPL / Creative Commons)</w:t>
            </w:r>
          </w:p>
        </w:tc>
        <w:tc>
          <w:tcPr>
            <w:tcW w:type="dxa" w:w="1134"/>
          </w:tcPr>
          <w:p>
            <w:r/>
            <w:r>
              <w:rPr>
                <w:sz w:val="18"/>
              </w:rPr>
              <w:t>S6</w:t>
            </w:r>
          </w:p>
        </w:tc>
        <w:tc>
          <w:tcPr>
            <w:tcW w:type="dxa" w:w="2835"/>
          </w:tcPr>
          <w:p>
            <w:r/>
            <w:r>
              <w:rPr>
                <w:sz w:val="18"/>
              </w:rPr>
              <w:t>Apartado de licenciamiento</w:t>
            </w:r>
          </w:p>
        </w:tc>
      </w:tr>
      <w:tr>
        <w:tc>
          <w:tcPr>
            <w:tcW w:type="dxa" w:w="850"/>
          </w:tcPr>
          <w:p>
            <w:r/>
            <w:r>
              <w:rPr>
                <w:sz w:val="18"/>
              </w:rPr>
              <w:t>2.5</w:t>
            </w:r>
          </w:p>
        </w:tc>
        <w:tc>
          <w:tcPr>
            <w:tcW w:type="dxa" w:w="4819"/>
          </w:tcPr>
          <w:p>
            <w:r/>
            <w:r>
              <w:rPr>
                <w:sz w:val="18"/>
              </w:rPr>
              <w:t>Revisión normativa sobre datos reales y medios de pago</w:t>
            </w:r>
          </w:p>
        </w:tc>
        <w:tc>
          <w:tcPr>
            <w:tcW w:type="dxa" w:w="1134"/>
          </w:tcPr>
          <w:p>
            <w:r/>
            <w:r>
              <w:rPr>
                <w:sz w:val="18"/>
              </w:rPr>
              <w:t>S8</w:t>
            </w:r>
          </w:p>
        </w:tc>
        <w:tc>
          <w:tcPr>
            <w:tcW w:type="dxa" w:w="2835"/>
          </w:tcPr>
          <w:p>
            <w:r/>
            <w:r>
              <w:rPr>
                <w:sz w:val="18"/>
              </w:rPr>
              <w:t>Checklist de cumplimiento</w:t>
            </w:r>
          </w:p>
        </w:tc>
      </w:tr>
      <w:tr>
        <w:tc>
          <w:tcPr>
            <w:tcW w:type="dxa" w:w="850"/>
          </w:tcPr>
          <w:p>
            <w:r/>
            <w:r>
              <w:rPr>
                <w:sz w:val="18"/>
              </w:rPr>
              <w:t>2.6</w:t>
            </w:r>
          </w:p>
        </w:tc>
        <w:tc>
          <w:tcPr>
            <w:tcW w:type="dxa" w:w="4819"/>
          </w:tcPr>
          <w:p>
            <w:r/>
            <w:r>
              <w:rPr>
                <w:sz w:val="18"/>
              </w:rPr>
              <w:t>Publicación legal final en el pie de página del sitio</w:t>
            </w:r>
          </w:p>
        </w:tc>
        <w:tc>
          <w:tcPr>
            <w:tcW w:type="dxa" w:w="1134"/>
          </w:tcPr>
          <w:p>
            <w:r/>
            <w:r>
              <w:rPr>
                <w:sz w:val="18"/>
              </w:rPr>
              <w:t>S11</w:t>
            </w:r>
          </w:p>
        </w:tc>
        <w:tc>
          <w:tcPr>
            <w:tcW w:type="dxa" w:w="2835"/>
          </w:tcPr>
          <w:p>
            <w:r/>
            <w:r>
              <w:rPr>
                <w:sz w:val="18"/>
              </w:rPr>
              <w:t>Enlace «Declaración Ética e Información Legal» activo</w:t>
            </w:r>
          </w:p>
        </w:tc>
      </w:tr>
    </w:tbl>
    <w:p/>
    <w:p>
      <w:pPr>
        <w:pStyle w:val="Heading2"/>
      </w:pPr>
      <w:r>
        <w:rPr>
          <w:rFonts w:ascii="Calibri" w:hAnsi="Calibri"/>
          <w:color w:val="2F4B3C"/>
        </w:rPr>
        <w:t>3.3. Rama 3.0 — Marketing y Emprendedorismo Digital</w:t>
      </w:r>
    </w:p>
    <w:tbl>
      <w:tblPr>
        <w:tblStyle w:val="TableGrid"/>
        <w:tblW w:type="auto" w:w="0"/>
        <w:tblLook w:firstColumn="1" w:firstRow="1" w:lastColumn="0" w:lastRow="0" w:noHBand="0" w:noVBand="1" w:val="04A0"/>
      </w:tblPr>
      <w:tblGrid>
        <w:gridCol w:w="2160"/>
        <w:gridCol w:w="2160"/>
        <w:gridCol w:w="2160"/>
        <w:gridCol w:w="2160"/>
      </w:tblGrid>
      <w:tr>
        <w:tc>
          <w:tcPr>
            <w:tcW w:type="dxa" w:w="850"/>
            <w:shd w:val="clear" w:color="auto" w:fill="3F6B52"/>
          </w:tcPr>
          <w:p>
            <w:r/>
            <w:r>
              <w:rPr>
                <w:b/>
                <w:color w:val="FFFFFF"/>
                <w:sz w:val="18"/>
              </w:rPr>
              <w:t>Código</w:t>
            </w:r>
          </w:p>
        </w:tc>
        <w:tc>
          <w:tcPr>
            <w:tcW w:type="dxa" w:w="4819"/>
            <w:shd w:val="clear" w:color="auto" w:fill="3F6B52"/>
          </w:tcPr>
          <w:p>
            <w:r/>
            <w:r>
              <w:rPr>
                <w:b/>
                <w:color w:val="FFFFFF"/>
                <w:sz w:val="18"/>
              </w:rPr>
              <w:t>Paquete de trabajo</w:t>
            </w:r>
          </w:p>
        </w:tc>
        <w:tc>
          <w:tcPr>
            <w:tcW w:type="dxa" w:w="1134"/>
            <w:shd w:val="clear" w:color="auto" w:fill="3F6B52"/>
          </w:tcPr>
          <w:p>
            <w:r/>
            <w:r>
              <w:rPr>
                <w:b/>
                <w:color w:val="FFFFFF"/>
                <w:sz w:val="18"/>
              </w:rPr>
              <w:t>Semana</w:t>
            </w:r>
          </w:p>
        </w:tc>
        <w:tc>
          <w:tcPr>
            <w:tcW w:type="dxa" w:w="2835"/>
            <w:shd w:val="clear" w:color="auto" w:fill="3F6B52"/>
          </w:tcPr>
          <w:p>
            <w:r/>
            <w:r>
              <w:rPr>
                <w:b/>
                <w:color w:val="FFFFFF"/>
                <w:sz w:val="18"/>
              </w:rPr>
              <w:t>Entregable</w:t>
            </w:r>
          </w:p>
        </w:tc>
      </w:tr>
      <w:tr>
        <w:tc>
          <w:tcPr>
            <w:tcW w:type="dxa" w:w="850"/>
          </w:tcPr>
          <w:p>
            <w:r/>
            <w:r>
              <w:rPr>
                <w:sz w:val="18"/>
              </w:rPr>
              <w:t>3.1</w:t>
            </w:r>
          </w:p>
        </w:tc>
        <w:tc>
          <w:tcPr>
            <w:tcW w:type="dxa" w:w="4819"/>
          </w:tcPr>
          <w:p>
            <w:r/>
            <w:r>
              <w:rPr>
                <w:sz w:val="18"/>
              </w:rPr>
              <w:t>Lienzo de modelo de negocio (Canvas, 9 módulos)</w:t>
            </w:r>
          </w:p>
        </w:tc>
        <w:tc>
          <w:tcPr>
            <w:tcW w:type="dxa" w:w="1134"/>
          </w:tcPr>
          <w:p>
            <w:r/>
            <w:r>
              <w:rPr>
                <w:sz w:val="18"/>
              </w:rPr>
              <w:t>S1</w:t>
            </w:r>
          </w:p>
        </w:tc>
        <w:tc>
          <w:tcPr>
            <w:tcW w:type="dxa" w:w="2835"/>
          </w:tcPr>
          <w:p>
            <w:r/>
            <w:r>
              <w:rPr>
                <w:sz w:val="18"/>
              </w:rPr>
              <w:t>Canvas digital</w:t>
            </w:r>
          </w:p>
        </w:tc>
      </w:tr>
      <w:tr>
        <w:tc>
          <w:tcPr>
            <w:tcW w:type="dxa" w:w="850"/>
          </w:tcPr>
          <w:p>
            <w:r/>
            <w:r>
              <w:rPr>
                <w:sz w:val="18"/>
              </w:rPr>
              <w:t>3.2</w:t>
            </w:r>
          </w:p>
        </w:tc>
        <w:tc>
          <w:tcPr>
            <w:tcW w:type="dxa" w:w="4819"/>
          </w:tcPr>
          <w:p>
            <w:r/>
            <w:r>
              <w:rPr>
                <w:sz w:val="18"/>
              </w:rPr>
              <w:t>Declaración de triple impacto y diferenciación</w:t>
            </w:r>
          </w:p>
        </w:tc>
        <w:tc>
          <w:tcPr>
            <w:tcW w:type="dxa" w:w="1134"/>
          </w:tcPr>
          <w:p>
            <w:r/>
            <w:r>
              <w:rPr>
                <w:sz w:val="18"/>
              </w:rPr>
              <w:t>S2</w:t>
            </w:r>
          </w:p>
        </w:tc>
        <w:tc>
          <w:tcPr>
            <w:tcW w:type="dxa" w:w="2835"/>
          </w:tcPr>
          <w:p>
            <w:r/>
            <w:r>
              <w:rPr>
                <w:sz w:val="18"/>
              </w:rPr>
              <w:t>Este documento</w:t>
            </w:r>
          </w:p>
        </w:tc>
      </w:tr>
      <w:tr>
        <w:tc>
          <w:tcPr>
            <w:tcW w:type="dxa" w:w="850"/>
          </w:tcPr>
          <w:p>
            <w:r/>
            <w:r>
              <w:rPr>
                <w:sz w:val="18"/>
              </w:rPr>
              <w:t>3.3</w:t>
            </w:r>
          </w:p>
        </w:tc>
        <w:tc>
          <w:tcPr>
            <w:tcW w:type="dxa" w:w="4819"/>
          </w:tcPr>
          <w:p>
            <w:r/>
            <w:r>
              <w:rPr>
                <w:sz w:val="18"/>
              </w:rPr>
              <w:t>Informe comparativo Startup vs. empresa tradicional</w:t>
            </w:r>
          </w:p>
        </w:tc>
        <w:tc>
          <w:tcPr>
            <w:tcW w:type="dxa" w:w="1134"/>
          </w:tcPr>
          <w:p>
            <w:r/>
            <w:r>
              <w:rPr>
                <w:sz w:val="18"/>
              </w:rPr>
              <w:t>S4-S5</w:t>
            </w:r>
          </w:p>
        </w:tc>
        <w:tc>
          <w:tcPr>
            <w:tcW w:type="dxa" w:w="2835"/>
          </w:tcPr>
          <w:p>
            <w:r/>
            <w:r>
              <w:rPr>
                <w:sz w:val="18"/>
              </w:rPr>
              <w:t>Ensayo comparativo</w:t>
            </w:r>
          </w:p>
        </w:tc>
      </w:tr>
      <w:tr>
        <w:tc>
          <w:tcPr>
            <w:tcW w:type="dxa" w:w="850"/>
          </w:tcPr>
          <w:p>
            <w:r/>
            <w:r>
              <w:rPr>
                <w:sz w:val="18"/>
              </w:rPr>
              <w:t>3.4</w:t>
            </w:r>
          </w:p>
        </w:tc>
        <w:tc>
          <w:tcPr>
            <w:tcW w:type="dxa" w:w="4819"/>
          </w:tcPr>
          <w:p>
            <w:r/>
            <w:r>
              <w:rPr>
                <w:sz w:val="18"/>
              </w:rPr>
              <w:t>Estrategia de canales y embudo de conversión</w:t>
            </w:r>
          </w:p>
        </w:tc>
        <w:tc>
          <w:tcPr>
            <w:tcW w:type="dxa" w:w="1134"/>
          </w:tcPr>
          <w:p>
            <w:r/>
            <w:r>
              <w:rPr>
                <w:sz w:val="18"/>
              </w:rPr>
              <w:t>S5</w:t>
            </w:r>
          </w:p>
        </w:tc>
        <w:tc>
          <w:tcPr>
            <w:tcW w:type="dxa" w:w="2835"/>
          </w:tcPr>
          <w:p>
            <w:r/>
            <w:r>
              <w:rPr>
                <w:sz w:val="18"/>
              </w:rPr>
              <w:t>Mapa de embudo de conversión</w:t>
            </w:r>
          </w:p>
        </w:tc>
      </w:tr>
      <w:tr>
        <w:tc>
          <w:tcPr>
            <w:tcW w:type="dxa" w:w="850"/>
          </w:tcPr>
          <w:p>
            <w:r/>
            <w:r>
              <w:rPr>
                <w:sz w:val="18"/>
              </w:rPr>
              <w:t>3.5</w:t>
            </w:r>
          </w:p>
        </w:tc>
        <w:tc>
          <w:tcPr>
            <w:tcW w:type="dxa" w:w="4819"/>
          </w:tcPr>
          <w:p>
            <w:r/>
            <w:r>
              <w:rPr>
                <w:sz w:val="18"/>
              </w:rPr>
              <w:t>Campaña de promoción en Instagram comercial</w:t>
            </w:r>
          </w:p>
        </w:tc>
        <w:tc>
          <w:tcPr>
            <w:tcW w:type="dxa" w:w="1134"/>
          </w:tcPr>
          <w:p>
            <w:r/>
            <w:r>
              <w:rPr>
                <w:sz w:val="18"/>
              </w:rPr>
              <w:t>S1-S3 / S7-S9</w:t>
            </w:r>
          </w:p>
        </w:tc>
        <w:tc>
          <w:tcPr>
            <w:tcW w:type="dxa" w:w="2835"/>
          </w:tcPr>
          <w:p>
            <w:r/>
            <w:r>
              <w:rPr>
                <w:sz w:val="18"/>
              </w:rPr>
              <w:t>Piezas gráficas y métricas de adquisición</w:t>
            </w:r>
          </w:p>
        </w:tc>
      </w:tr>
      <w:tr>
        <w:tc>
          <w:tcPr>
            <w:tcW w:type="dxa" w:w="850"/>
          </w:tcPr>
          <w:p>
            <w:r/>
            <w:r>
              <w:rPr>
                <w:sz w:val="18"/>
              </w:rPr>
              <w:t>3.6</w:t>
            </w:r>
          </w:p>
        </w:tc>
        <w:tc>
          <w:tcPr>
            <w:tcW w:type="dxa" w:w="4819"/>
          </w:tcPr>
          <w:p>
            <w:r/>
            <w:r>
              <w:rPr>
                <w:sz w:val="18"/>
              </w:rPr>
              <w:t>Consolidación y cierre de la estrategia comercial</w:t>
            </w:r>
          </w:p>
        </w:tc>
        <w:tc>
          <w:tcPr>
            <w:tcW w:type="dxa" w:w="1134"/>
          </w:tcPr>
          <w:p>
            <w:r/>
            <w:r>
              <w:rPr>
                <w:sz w:val="18"/>
              </w:rPr>
              <w:t>S11</w:t>
            </w:r>
          </w:p>
        </w:tc>
        <w:tc>
          <w:tcPr>
            <w:tcW w:type="dxa" w:w="2835"/>
          </w:tcPr>
          <w:p>
            <w:r/>
            <w:r>
              <w:rPr>
                <w:sz w:val="18"/>
              </w:rPr>
              <w:t>Informe de cierre comercial</w:t>
            </w:r>
          </w:p>
        </w:tc>
      </w:tr>
    </w:tbl>
    <w:p/>
    <w:p>
      <w:pPr>
        <w:pStyle w:val="Heading2"/>
      </w:pPr>
      <w:r>
        <w:rPr>
          <w:rFonts w:ascii="Calibri" w:hAnsi="Calibri"/>
          <w:color w:val="2F4B3C"/>
        </w:rPr>
        <w:t>3.4. Rama 4.0 — Gestión del Proyecto</w:t>
      </w:r>
    </w:p>
    <w:tbl>
      <w:tblPr>
        <w:tblStyle w:val="TableGrid"/>
        <w:tblW w:type="auto" w:w="0"/>
        <w:tblLook w:firstColumn="1" w:firstRow="1" w:lastColumn="0" w:lastRow="0" w:noHBand="0" w:noVBand="1" w:val="04A0"/>
      </w:tblPr>
      <w:tblGrid>
        <w:gridCol w:w="2160"/>
        <w:gridCol w:w="2160"/>
        <w:gridCol w:w="2160"/>
        <w:gridCol w:w="2160"/>
      </w:tblGrid>
      <w:tr>
        <w:tc>
          <w:tcPr>
            <w:tcW w:type="dxa" w:w="850"/>
            <w:shd w:val="clear" w:color="auto" w:fill="3F6B52"/>
          </w:tcPr>
          <w:p>
            <w:r/>
            <w:r>
              <w:rPr>
                <w:b/>
                <w:color w:val="FFFFFF"/>
                <w:sz w:val="18"/>
              </w:rPr>
              <w:t>Código</w:t>
            </w:r>
          </w:p>
        </w:tc>
        <w:tc>
          <w:tcPr>
            <w:tcW w:type="dxa" w:w="4819"/>
            <w:shd w:val="clear" w:color="auto" w:fill="3F6B52"/>
          </w:tcPr>
          <w:p>
            <w:r/>
            <w:r>
              <w:rPr>
                <w:b/>
                <w:color w:val="FFFFFF"/>
                <w:sz w:val="18"/>
              </w:rPr>
              <w:t>Paquete de trabajo</w:t>
            </w:r>
          </w:p>
        </w:tc>
        <w:tc>
          <w:tcPr>
            <w:tcW w:type="dxa" w:w="1134"/>
            <w:shd w:val="clear" w:color="auto" w:fill="3F6B52"/>
          </w:tcPr>
          <w:p>
            <w:r/>
            <w:r>
              <w:rPr>
                <w:b/>
                <w:color w:val="FFFFFF"/>
                <w:sz w:val="18"/>
              </w:rPr>
              <w:t>Semana</w:t>
            </w:r>
          </w:p>
        </w:tc>
        <w:tc>
          <w:tcPr>
            <w:tcW w:type="dxa" w:w="2835"/>
            <w:shd w:val="clear" w:color="auto" w:fill="3F6B52"/>
          </w:tcPr>
          <w:p>
            <w:r/>
            <w:r>
              <w:rPr>
                <w:b/>
                <w:color w:val="FFFFFF"/>
                <w:sz w:val="18"/>
              </w:rPr>
              <w:t>Entregable</w:t>
            </w:r>
          </w:p>
        </w:tc>
      </w:tr>
      <w:tr>
        <w:tc>
          <w:tcPr>
            <w:tcW w:type="dxa" w:w="850"/>
          </w:tcPr>
          <w:p>
            <w:r/>
            <w:r>
              <w:rPr>
                <w:sz w:val="18"/>
              </w:rPr>
              <w:t>4.1</w:t>
            </w:r>
          </w:p>
        </w:tc>
        <w:tc>
          <w:tcPr>
            <w:tcW w:type="dxa" w:w="4819"/>
          </w:tcPr>
          <w:p>
            <w:r/>
            <w:r>
              <w:rPr>
                <w:sz w:val="18"/>
              </w:rPr>
              <w:t>Acta de Constitución del Proyecto</w:t>
            </w:r>
          </w:p>
        </w:tc>
        <w:tc>
          <w:tcPr>
            <w:tcW w:type="dxa" w:w="1134"/>
          </w:tcPr>
          <w:p>
            <w:r/>
            <w:r>
              <w:rPr>
                <w:sz w:val="18"/>
              </w:rPr>
              <w:t>S1</w:t>
            </w:r>
          </w:p>
        </w:tc>
        <w:tc>
          <w:tcPr>
            <w:tcW w:type="dxa" w:w="2835"/>
          </w:tcPr>
          <w:p>
            <w:r/>
            <w:r>
              <w:rPr>
                <w:sz w:val="18"/>
              </w:rPr>
              <w:t>Acta firmada</w:t>
            </w:r>
          </w:p>
        </w:tc>
      </w:tr>
      <w:tr>
        <w:tc>
          <w:tcPr>
            <w:tcW w:type="dxa" w:w="850"/>
          </w:tcPr>
          <w:p>
            <w:r/>
            <w:r>
              <w:rPr>
                <w:sz w:val="18"/>
              </w:rPr>
              <w:t>4.2</w:t>
            </w:r>
          </w:p>
        </w:tc>
        <w:tc>
          <w:tcPr>
            <w:tcW w:type="dxa" w:w="4819"/>
          </w:tcPr>
          <w:p>
            <w:r/>
            <w:r>
              <w:rPr>
                <w:sz w:val="18"/>
              </w:rPr>
              <w:t>Estructura de Descomposición del Trabajo (EDT)</w:t>
            </w:r>
          </w:p>
        </w:tc>
        <w:tc>
          <w:tcPr>
            <w:tcW w:type="dxa" w:w="1134"/>
          </w:tcPr>
          <w:p>
            <w:r/>
            <w:r>
              <w:rPr>
                <w:sz w:val="18"/>
              </w:rPr>
              <w:t>S2</w:t>
            </w:r>
          </w:p>
        </w:tc>
        <w:tc>
          <w:tcPr>
            <w:tcW w:type="dxa" w:w="2835"/>
          </w:tcPr>
          <w:p>
            <w:r/>
            <w:r>
              <w:rPr>
                <w:sz w:val="18"/>
              </w:rPr>
              <w:t>Este documento</w:t>
            </w:r>
          </w:p>
        </w:tc>
      </w:tr>
      <w:tr>
        <w:tc>
          <w:tcPr>
            <w:tcW w:type="dxa" w:w="850"/>
          </w:tcPr>
          <w:p>
            <w:r/>
            <w:r>
              <w:rPr>
                <w:sz w:val="18"/>
              </w:rPr>
              <w:t>4.3</w:t>
            </w:r>
          </w:p>
        </w:tc>
        <w:tc>
          <w:tcPr>
            <w:tcW w:type="dxa" w:w="4819"/>
          </w:tcPr>
          <w:p>
            <w:r/>
            <w:r>
              <w:rPr>
                <w:sz w:val="18"/>
              </w:rPr>
              <w:t>Configuración del tablero Kanban digital</w:t>
            </w:r>
          </w:p>
        </w:tc>
        <w:tc>
          <w:tcPr>
            <w:tcW w:type="dxa" w:w="1134"/>
          </w:tcPr>
          <w:p>
            <w:r/>
            <w:r>
              <w:rPr>
                <w:sz w:val="18"/>
              </w:rPr>
              <w:t>S3</w:t>
            </w:r>
          </w:p>
        </w:tc>
        <w:tc>
          <w:tcPr>
            <w:tcW w:type="dxa" w:w="2835"/>
          </w:tcPr>
          <w:p>
            <w:r/>
            <w:r>
              <w:rPr>
                <w:sz w:val="18"/>
              </w:rPr>
              <w:t>Tablero en Trello con columnas y tareas</w:t>
            </w:r>
          </w:p>
        </w:tc>
      </w:tr>
      <w:tr>
        <w:tc>
          <w:tcPr>
            <w:tcW w:type="dxa" w:w="850"/>
          </w:tcPr>
          <w:p>
            <w:r/>
            <w:r>
              <w:rPr>
                <w:sz w:val="18"/>
              </w:rPr>
              <w:t>4.4</w:t>
            </w:r>
          </w:p>
        </w:tc>
        <w:tc>
          <w:tcPr>
            <w:tcW w:type="dxa" w:w="4819"/>
          </w:tcPr>
          <w:p>
            <w:r/>
            <w:r>
              <w:rPr>
                <w:sz w:val="18"/>
              </w:rPr>
              <w:t>Diagrama de Gantt</w:t>
            </w:r>
          </w:p>
        </w:tc>
        <w:tc>
          <w:tcPr>
            <w:tcW w:type="dxa" w:w="1134"/>
          </w:tcPr>
          <w:p>
            <w:r/>
            <w:r>
              <w:rPr>
                <w:sz w:val="18"/>
              </w:rPr>
              <w:t>S4</w:t>
            </w:r>
          </w:p>
        </w:tc>
        <w:tc>
          <w:tcPr>
            <w:tcW w:type="dxa" w:w="2835"/>
          </w:tcPr>
          <w:p>
            <w:r/>
            <w:r>
              <w:rPr>
                <w:sz w:val="18"/>
              </w:rPr>
              <w:t>Gantt base publicado</w:t>
            </w:r>
          </w:p>
        </w:tc>
      </w:tr>
      <w:tr>
        <w:tc>
          <w:tcPr>
            <w:tcW w:type="dxa" w:w="850"/>
          </w:tcPr>
          <w:p>
            <w:r/>
            <w:r>
              <w:rPr>
                <w:sz w:val="18"/>
              </w:rPr>
              <w:t>4.5</w:t>
            </w:r>
          </w:p>
        </w:tc>
        <w:tc>
          <w:tcPr>
            <w:tcW w:type="dxa" w:w="4819"/>
          </w:tcPr>
          <w:p>
            <w:r/>
            <w:r>
              <w:rPr>
                <w:sz w:val="18"/>
              </w:rPr>
              <w:t>Matriz y registro de riesgos (mínimo 5 riesgos)</w:t>
            </w:r>
          </w:p>
        </w:tc>
        <w:tc>
          <w:tcPr>
            <w:tcW w:type="dxa" w:w="1134"/>
          </w:tcPr>
          <w:p>
            <w:r/>
            <w:r>
              <w:rPr>
                <w:sz w:val="18"/>
              </w:rPr>
              <w:t>S4-S6</w:t>
            </w:r>
          </w:p>
        </w:tc>
        <w:tc>
          <w:tcPr>
            <w:tcW w:type="dxa" w:w="2835"/>
          </w:tcPr>
          <w:p>
            <w:r/>
            <w:r>
              <w:rPr>
                <w:sz w:val="18"/>
              </w:rPr>
              <w:t>Matriz de riesgos documentada</w:t>
            </w:r>
          </w:p>
        </w:tc>
      </w:tr>
      <w:tr>
        <w:tc>
          <w:tcPr>
            <w:tcW w:type="dxa" w:w="850"/>
          </w:tcPr>
          <w:p>
            <w:r/>
            <w:r>
              <w:rPr>
                <w:sz w:val="18"/>
              </w:rPr>
              <w:t>4.6</w:t>
            </w:r>
          </w:p>
        </w:tc>
        <w:tc>
          <w:tcPr>
            <w:tcW w:type="dxa" w:w="4819"/>
          </w:tcPr>
          <w:p>
            <w:r/>
            <w:r>
              <w:rPr>
                <w:sz w:val="18"/>
              </w:rPr>
              <w:t>Control de desvíos del cronograma</w:t>
            </w:r>
          </w:p>
        </w:tc>
        <w:tc>
          <w:tcPr>
            <w:tcW w:type="dxa" w:w="1134"/>
          </w:tcPr>
          <w:p>
            <w:r/>
            <w:r>
              <w:rPr>
                <w:sz w:val="18"/>
              </w:rPr>
              <w:t>S6, S9</w:t>
            </w:r>
          </w:p>
        </w:tc>
        <w:tc>
          <w:tcPr>
            <w:tcW w:type="dxa" w:w="2835"/>
          </w:tcPr>
          <w:p>
            <w:r/>
            <w:r>
              <w:rPr>
                <w:sz w:val="18"/>
              </w:rPr>
              <w:t>Informe de desvíos</w:t>
            </w:r>
          </w:p>
        </w:tc>
      </w:tr>
      <w:tr>
        <w:tc>
          <w:tcPr>
            <w:tcW w:type="dxa" w:w="850"/>
          </w:tcPr>
          <w:p>
            <w:r/>
            <w:r>
              <w:rPr>
                <w:sz w:val="18"/>
              </w:rPr>
              <w:t>4.7</w:t>
            </w:r>
          </w:p>
        </w:tc>
        <w:tc>
          <w:tcPr>
            <w:tcW w:type="dxa" w:w="4819"/>
          </w:tcPr>
          <w:p>
            <w:r/>
            <w:r>
              <w:rPr>
                <w:sz w:val="18"/>
              </w:rPr>
              <w:t>Seguimiento ágil (dailies simulados)</w:t>
            </w:r>
          </w:p>
        </w:tc>
        <w:tc>
          <w:tcPr>
            <w:tcW w:type="dxa" w:w="1134"/>
          </w:tcPr>
          <w:p>
            <w:r/>
            <w:r>
              <w:rPr>
                <w:sz w:val="18"/>
              </w:rPr>
              <w:t>Continuo S1-S11</w:t>
            </w:r>
          </w:p>
        </w:tc>
        <w:tc>
          <w:tcPr>
            <w:tcW w:type="dxa" w:w="2835"/>
          </w:tcPr>
          <w:p>
            <w:r/>
            <w:r>
              <w:rPr>
                <w:sz w:val="18"/>
              </w:rPr>
              <w:t>Registro de seguimiento</w:t>
            </w:r>
          </w:p>
        </w:tc>
      </w:tr>
      <w:tr>
        <w:tc>
          <w:tcPr>
            <w:tcW w:type="dxa" w:w="850"/>
          </w:tcPr>
          <w:p>
            <w:r/>
            <w:r>
              <w:rPr>
                <w:sz w:val="18"/>
              </w:rPr>
              <w:t>4.8</w:t>
            </w:r>
          </w:p>
        </w:tc>
        <w:tc>
          <w:tcPr>
            <w:tcW w:type="dxa" w:w="4819"/>
          </w:tcPr>
          <w:p>
            <w:r/>
            <w:r>
              <w:rPr>
                <w:sz w:val="18"/>
              </w:rPr>
              <w:t>Cierre del proyecto y presentación final</w:t>
            </w:r>
          </w:p>
        </w:tc>
        <w:tc>
          <w:tcPr>
            <w:tcW w:type="dxa" w:w="1134"/>
          </w:tcPr>
          <w:p>
            <w:r/>
            <w:r>
              <w:rPr>
                <w:sz w:val="18"/>
              </w:rPr>
              <w:t>S11</w:t>
            </w:r>
          </w:p>
        </w:tc>
        <w:tc>
          <w:tcPr>
            <w:tcW w:type="dxa" w:w="2835"/>
          </w:tcPr>
          <w:p>
            <w:r/>
            <w:r>
              <w:rPr>
                <w:sz w:val="18"/>
              </w:rPr>
              <w:t>Portafolio integrador final</w:t>
            </w:r>
          </w:p>
        </w:tc>
      </w:tr>
    </w:tbl>
    <w:p/>
    <w:p>
      <w:pPr>
        <w:jc w:val="center"/>
      </w:pPr>
      <w:r>
        <w:rPr>
          <w:i/>
          <w:color w:val="444444"/>
          <w:sz w:val="16"/>
        </w:rPr>
        <w:t>Woodbird — Proyecto de simulación académica interdisciplinar · IES "René Favaloro" · Tecnicatura Superior en Desarrollo de 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