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4B3C"/>
          <w:sz w:val="36"/>
        </w:rPr>
        <w:t>DECLARACIÓN DE TRIPLE IMPACTO Y DIFERENCIACIÓN</w:t>
      </w:r>
    </w:p>
    <w:p>
      <w:pPr>
        <w:jc w:val="center"/>
      </w:pPr>
      <w:r>
        <w:rPr>
          <w:i/>
          <w:color w:val="444444"/>
          <w:sz w:val="24"/>
        </w:rPr>
        <w:t>Woodbird — Aves decorativas de madera</w:t>
      </w:r>
    </w:p>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E8EDE9"/>
          </w:tcPr>
          <w:p>
            <w:r/>
            <w:r>
              <w:rPr>
                <w:b/>
                <w:sz w:val="20"/>
              </w:rPr>
              <w:t>Materia</w:t>
            </w:r>
          </w:p>
        </w:tc>
        <w:tc>
          <w:tcPr>
            <w:tcW w:type="dxa" w:w="6236"/>
          </w:tcPr>
          <w:p>
            <w:r/>
            <w:r>
              <w:rPr>
                <w:sz w:val="20"/>
              </w:rPr>
              <w:t>El Emprendedor Digital y el Contexto (EDC)</w:t>
            </w:r>
          </w:p>
        </w:tc>
      </w:tr>
      <w:tr>
        <w:tc>
          <w:tcPr>
            <w:tcW w:type="dxa" w:w="2268"/>
            <w:shd w:val="clear" w:color="auto" w:fill="E8EDE9"/>
          </w:tcPr>
          <w:p>
            <w:r/>
            <w:r>
              <w:rPr>
                <w:b/>
                <w:sz w:val="20"/>
              </w:rPr>
              <w:t>Actividad</w:t>
            </w:r>
          </w:p>
        </w:tc>
        <w:tc>
          <w:tcPr>
            <w:tcW w:type="dxa" w:w="6236"/>
          </w:tcPr>
          <w:p>
            <w:r/>
            <w:r>
              <w:rPr>
                <w:sz w:val="20"/>
              </w:rPr>
              <w:t>Sprint 1 — Semana 2 — Definición de Startup y Triple Impacto</w:t>
            </w:r>
          </w:p>
        </w:tc>
      </w:tr>
      <w:tr>
        <w:tc>
          <w:tcPr>
            <w:tcW w:type="dxa" w:w="2268"/>
            <w:shd w:val="clear" w:color="auto" w:fill="E8EDE9"/>
          </w:tcPr>
          <w:p>
            <w:r/>
            <w:r>
              <w:rPr>
                <w:b/>
                <w:sz w:val="20"/>
              </w:rPr>
              <w:t>Startup</w:t>
            </w:r>
          </w:p>
        </w:tc>
        <w:tc>
          <w:tcPr>
            <w:tcW w:type="dxa" w:w="6236"/>
          </w:tcPr>
          <w:p>
            <w:r/>
            <w:r>
              <w:rPr>
                <w:sz w:val="20"/>
              </w:rPr>
              <w:t>Woodbird — Aves decorativas de madera</w:t>
            </w:r>
          </w:p>
        </w:tc>
      </w:tr>
      <w:tr>
        <w:tc>
          <w:tcPr>
            <w:tcW w:type="dxa" w:w="2268"/>
            <w:shd w:val="clear" w:color="auto" w:fill="E8EDE9"/>
          </w:tcPr>
          <w:p>
            <w:r/>
            <w:r>
              <w:rPr>
                <w:b/>
                <w:sz w:val="20"/>
              </w:rPr>
              <w:t>Autor</w:t>
            </w:r>
          </w:p>
        </w:tc>
        <w:tc>
          <w:tcPr>
            <w:tcW w:type="dxa" w:w="6236"/>
          </w:tcPr>
          <w:p>
            <w:r/>
            <w:r>
              <w:rPr>
                <w:sz w:val="20"/>
              </w:rPr>
              <w:t>Reiss Jorge Nicolás</w:t>
            </w:r>
          </w:p>
        </w:tc>
      </w:tr>
      <w:tr>
        <w:tc>
          <w:tcPr>
            <w:tcW w:type="dxa" w:w="2268"/>
            <w:shd w:val="clear" w:color="auto" w:fill="E8EDE9"/>
          </w:tcPr>
          <w:p>
            <w:r/>
            <w:r>
              <w:rPr>
                <w:b/>
                <w:sz w:val="20"/>
              </w:rPr>
              <w:t>Docente</w:t>
            </w:r>
          </w:p>
        </w:tc>
        <w:tc>
          <w:tcPr>
            <w:tcW w:type="dxa" w:w="6236"/>
          </w:tcPr>
          <w:p>
            <w:r/>
            <w:r>
              <w:rPr>
                <w:sz w:val="20"/>
              </w:rPr>
              <w:t>Ibañez Erick</w:t>
            </w:r>
          </w:p>
        </w:tc>
      </w:tr>
      <w:tr>
        <w:tc>
          <w:tcPr>
            <w:tcW w:type="dxa" w:w="2268"/>
            <w:shd w:val="clear" w:color="auto" w:fill="E8EDE9"/>
          </w:tcPr>
          <w:p>
            <w:r/>
            <w:r>
              <w:rPr>
                <w:b/>
                <w:sz w:val="20"/>
              </w:rPr>
              <w:t>Fecha</w:t>
            </w:r>
          </w:p>
        </w:tc>
        <w:tc>
          <w:tcPr>
            <w:tcW w:type="dxa" w:w="6236"/>
          </w:tcPr>
          <w:p>
            <w:r/>
            <w:r>
              <w:rPr>
                <w:sz w:val="20"/>
              </w:rPr>
              <w:t>14 de septiembre de 2026</w:t>
            </w:r>
          </w:p>
        </w:tc>
      </w:tr>
    </w:tbl>
    <w:p/>
    <w:p>
      <w:pPr>
        <w:pStyle w:val="Heading1"/>
      </w:pPr>
      <w:r>
        <w:rPr>
          <w:rFonts w:ascii="Calibri" w:hAnsi="Calibri"/>
          <w:color w:val="2F4B3C"/>
        </w:rPr>
        <w:t>1. Objeto del documento</w:t>
      </w:r>
    </w:p>
    <w:p>
      <w:pPr>
        <w:jc w:val="both"/>
      </w:pPr>
      <w:r>
        <w:rPr>
          <w:b w:val="0"/>
          <w:i w:val="0"/>
        </w:rPr>
        <w:t>Este informe contrasta críticamente el modelo operativo y la lógica de escalabilidad de Woodbird frente a una empresa tradicional del mismo rubro (venta de artesanías en madera), y fundamenta de qué manera un e-commerce de productos ficticios generados por Inteligencia Artificial puede promover un desarrollo sostenible, entendido como la búsqueda simultánea de resultado económico, beneficio social y beneficio ambiental, el llamado triple impacto.</w:t>
      </w:r>
    </w:p>
    <w:p>
      <w:pPr>
        <w:pStyle w:val="Heading1"/>
      </w:pPr>
      <w:r>
        <w:rPr>
          <w:rFonts w:ascii="Calibri" w:hAnsi="Calibri"/>
          <w:color w:val="2F4B3C"/>
        </w:rPr>
        <w:t>2. Woodbird como startup de triple impacto</w:t>
      </w:r>
    </w:p>
    <w:p>
      <w:pPr>
        <w:jc w:val="both"/>
      </w:pPr>
      <w:r>
        <w:rPr>
          <w:b w:val="0"/>
          <w:i w:val="0"/>
        </w:rPr>
        <w:t>Una startup de triple impacto se distingue de una empresa tradicional en que no mide su éxito únicamente por el resultado económico, sino por el efecto conjunto que produce en tres dimensiones: la económica (viabilidad y escalabilidad del negocio), la social (valor generado para personas y comunidades) y la ambiental (huella ecológica de la operación). Woodbird adopta este enfoque desde su diseño: es un e-commerce que simula la venta de aves decorativas talladas en palo santo, pero que resuelve deliberadamente no fabricar ni una sola pieza física, sustituyendo la producción real por un catálogo generado mediante IA. Esa decisión de diseño es, en sí misma, la estrategia de impacto del proyecto, y se desarrolla en la sección 4.</w:t>
      </w:r>
    </w:p>
    <w:p>
      <w:pPr>
        <w:pStyle w:val="Heading1"/>
      </w:pPr>
      <w:r>
        <w:rPr>
          <w:rFonts w:ascii="Calibri" w:hAnsi="Calibri"/>
          <w:color w:val="2F4B3C"/>
        </w:rPr>
        <w:t>3. Diferenciación operativa frente a una empresa tradicional</w:t>
      </w:r>
    </w:p>
    <w:p>
      <w:pPr>
        <w:jc w:val="both"/>
      </w:pPr>
      <w:r>
        <w:rPr>
          <w:b w:val="0"/>
          <w:i w:val="0"/>
        </w:rPr>
        <w:t>El siguiente cuadro contrasta, bloque por bloque, la lógica operativa de un taller o comercio artesanal tradicional de aves decorativas con la de Woodbird como e-commerce desmaterializado.</w:t>
      </w:r>
    </w:p>
    <w:tbl>
      <w:tblPr>
        <w:tblStyle w:val="TableGrid"/>
        <w:tblW w:type="auto" w:w="0"/>
        <w:tblLook w:firstColumn="1" w:firstRow="1" w:lastColumn="0" w:lastRow="0" w:noHBand="0" w:noVBand="1" w:val="04A0"/>
      </w:tblPr>
      <w:tblGrid>
        <w:gridCol w:w="2880"/>
        <w:gridCol w:w="2880"/>
        <w:gridCol w:w="2880"/>
      </w:tblGrid>
      <w:tr>
        <w:tc>
          <w:tcPr>
            <w:tcW w:type="dxa" w:w="1701"/>
            <w:shd w:val="clear" w:color="auto" w:fill="3F6B52"/>
          </w:tcPr>
          <w:p>
            <w:r/>
            <w:r>
              <w:rPr>
                <w:b/>
                <w:color w:val="FFFFFF"/>
                <w:sz w:val="17"/>
              </w:rPr>
              <w:t>Bloque</w:t>
            </w:r>
          </w:p>
        </w:tc>
        <w:tc>
          <w:tcPr>
            <w:tcW w:type="dxa" w:w="3685"/>
            <w:shd w:val="clear" w:color="auto" w:fill="3F6B52"/>
          </w:tcPr>
          <w:p>
            <w:r/>
            <w:r>
              <w:rPr>
                <w:b/>
                <w:color w:val="FFFFFF"/>
                <w:sz w:val="17"/>
              </w:rPr>
              <w:t>Empresa tradicional</w:t>
            </w:r>
          </w:p>
        </w:tc>
        <w:tc>
          <w:tcPr>
            <w:tcW w:type="dxa" w:w="4252"/>
            <w:shd w:val="clear" w:color="auto" w:fill="3F6B52"/>
          </w:tcPr>
          <w:p>
            <w:r/>
            <w:r>
              <w:rPr>
                <w:b/>
                <w:color w:val="FFFFFF"/>
                <w:sz w:val="17"/>
              </w:rPr>
              <w:t>Woodbird (e-commerce desmaterializado)</w:t>
            </w:r>
          </w:p>
        </w:tc>
      </w:tr>
      <w:tr>
        <w:tc>
          <w:tcPr>
            <w:tcW w:type="dxa" w:w="1701"/>
          </w:tcPr>
          <w:p>
            <w:r/>
            <w:r>
              <w:rPr>
                <w:sz w:val="17"/>
              </w:rPr>
              <w:t>Costos transaccionales</w:t>
            </w:r>
          </w:p>
        </w:tc>
        <w:tc>
          <w:tcPr>
            <w:tcW w:type="dxa" w:w="3685"/>
          </w:tcPr>
          <w:p>
            <w:r/>
            <w:r>
              <w:rPr>
                <w:sz w:val="17"/>
              </w:rPr>
              <w:t>Alquiler de local, vidriera, stock exhibido y personal de atención permanente.</w:t>
            </w:r>
          </w:p>
        </w:tc>
        <w:tc>
          <w:tcPr>
            <w:tcW w:type="dxa" w:w="4252"/>
          </w:tcPr>
          <w:p>
            <w:r/>
            <w:r>
              <w:rPr>
                <w:sz w:val="17"/>
              </w:rPr>
              <w:t>Hosting, dominio y comisión de la pasarela de pago. Sin alquiler ni stock inmovilizado.</w:t>
            </w:r>
          </w:p>
        </w:tc>
      </w:tr>
      <w:tr>
        <w:tc>
          <w:tcPr>
            <w:tcW w:type="dxa" w:w="1701"/>
          </w:tcPr>
          <w:p>
            <w:r/>
            <w:r>
              <w:rPr>
                <w:sz w:val="17"/>
              </w:rPr>
              <w:t>Producción</w:t>
            </w:r>
          </w:p>
        </w:tc>
        <w:tc>
          <w:tcPr>
            <w:tcW w:type="dxa" w:w="3685"/>
          </w:tcPr>
          <w:p>
            <w:r/>
            <w:r>
              <w:rPr>
                <w:sz w:val="17"/>
              </w:rPr>
              <w:t>Compra de materia prima (palo santo), tallado, terminación y control de calidad de cada pieza física.</w:t>
            </w:r>
          </w:p>
        </w:tc>
        <w:tc>
          <w:tcPr>
            <w:tcW w:type="dxa" w:w="4252"/>
          </w:tcPr>
          <w:p>
            <w:r/>
            <w:r>
              <w:rPr>
                <w:sz w:val="17"/>
              </w:rPr>
              <w:t>Generación de imágenes y descripciones mediante IA. No existe extracción de madera ni proceso de tallado real.</w:t>
            </w:r>
          </w:p>
        </w:tc>
      </w:tr>
      <w:tr>
        <w:tc>
          <w:tcPr>
            <w:tcW w:type="dxa" w:w="1701"/>
          </w:tcPr>
          <w:p>
            <w:r/>
            <w:r>
              <w:rPr>
                <w:sz w:val="17"/>
              </w:rPr>
              <w:t>Logística operativa</w:t>
            </w:r>
          </w:p>
        </w:tc>
        <w:tc>
          <w:tcPr>
            <w:tcW w:type="dxa" w:w="3685"/>
          </w:tcPr>
          <w:p>
            <w:r/>
            <w:r>
              <w:rPr>
                <w:sz w:val="17"/>
              </w:rPr>
              <w:t>Traslado de mercadería al punto de venta, manejo de inventario, mermas y devoluciones físicas.</w:t>
            </w:r>
          </w:p>
        </w:tc>
        <w:tc>
          <w:tcPr>
            <w:tcW w:type="dxa" w:w="4252"/>
          </w:tcPr>
          <w:p>
            <w:r/>
            <w:r>
              <w:rPr>
                <w:sz w:val="17"/>
              </w:rPr>
              <w:t>No hay envío de producto físico ni inventario que gestionar; el único flujo logístico es de información.</w:t>
            </w:r>
          </w:p>
        </w:tc>
      </w:tr>
      <w:tr>
        <w:tc>
          <w:tcPr>
            <w:tcW w:type="dxa" w:w="1701"/>
          </w:tcPr>
          <w:p>
            <w:r/>
            <w:r>
              <w:rPr>
                <w:sz w:val="17"/>
              </w:rPr>
              <w:t>Escalabilidad</w:t>
            </w:r>
          </w:p>
        </w:tc>
        <w:tc>
          <w:tcPr>
            <w:tcW w:type="dxa" w:w="3685"/>
          </w:tcPr>
          <w:p>
            <w:r/>
            <w:r>
              <w:rPr>
                <w:sz w:val="17"/>
              </w:rPr>
              <w:t>Cada unidad vendida adicional requiere más madera, más horas de tallado y, eventualmente, más local o personal.</w:t>
            </w:r>
          </w:p>
        </w:tc>
        <w:tc>
          <w:tcPr>
            <w:tcW w:type="dxa" w:w="4252"/>
          </w:tcPr>
          <w:p>
            <w:r/>
            <w:r>
              <w:rPr>
                <w:sz w:val="17"/>
              </w:rPr>
              <w:t>Ampliar el catálogo o el alcance geográfico no incrementa el consumo de materia prima ni requiere infraestructura física adicional.</w:t>
            </w:r>
          </w:p>
        </w:tc>
      </w:tr>
      <w:tr>
        <w:tc>
          <w:tcPr>
            <w:tcW w:type="dxa" w:w="1701"/>
          </w:tcPr>
          <w:p>
            <w:r/>
            <w:r>
              <w:rPr>
                <w:sz w:val="17"/>
              </w:rPr>
              <w:t>Alcance geográfico</w:t>
            </w:r>
          </w:p>
        </w:tc>
        <w:tc>
          <w:tcPr>
            <w:tcW w:type="dxa" w:w="3685"/>
          </w:tcPr>
          <w:p>
            <w:r/>
            <w:r>
              <w:rPr>
                <w:sz w:val="17"/>
              </w:rPr>
              <w:t>Limitado a la clientela que llega físicamente al punto de venta o a ferias regionales.</w:t>
            </w:r>
          </w:p>
        </w:tc>
        <w:tc>
          <w:tcPr>
            <w:tcW w:type="dxa" w:w="4252"/>
          </w:tcPr>
          <w:p>
            <w:r/>
            <w:r>
              <w:rPr>
                <w:sz w:val="17"/>
              </w:rPr>
              <w:t>Alcance nacional desde el primer día, sin costo marginal por sumar una provincia nueva al mercado.</w:t>
            </w:r>
          </w:p>
        </w:tc>
      </w:tr>
      <w:tr>
        <w:tc>
          <w:tcPr>
            <w:tcW w:type="dxa" w:w="1701"/>
          </w:tcPr>
          <w:p>
            <w:r/>
            <w:r>
              <w:rPr>
                <w:sz w:val="17"/>
              </w:rPr>
              <w:t>Flexibilidad estructural</w:t>
            </w:r>
          </w:p>
        </w:tc>
        <w:tc>
          <w:tcPr>
            <w:tcW w:type="dxa" w:w="3685"/>
          </w:tcPr>
          <w:p>
            <w:r/>
            <w:r>
              <w:rPr>
                <w:sz w:val="17"/>
              </w:rPr>
              <w:t>Cambiar de rubro o línea de producto implica renovar stock, herramientas y, muchas veces, el local.</w:t>
            </w:r>
          </w:p>
        </w:tc>
        <w:tc>
          <w:tcPr>
            <w:tcW w:type="dxa" w:w="4252"/>
          </w:tcPr>
          <w:p>
            <w:r/>
            <w:r>
              <w:rPr>
                <w:sz w:val="17"/>
              </w:rPr>
              <w:t>El catálogo puede reformularse editando el archivo de datos del sitio, sin costo de reconversión física.</w:t>
            </w:r>
          </w:p>
        </w:tc>
      </w:tr>
    </w:tbl>
    <w:p/>
    <w:p>
      <w:pPr>
        <w:pStyle w:val="Heading1"/>
      </w:pPr>
      <w:r>
        <w:rPr>
          <w:rFonts w:ascii="Calibri" w:hAnsi="Calibri"/>
          <w:color w:val="2F4B3C"/>
        </w:rPr>
        <w:t>4. Cómo la venta de artículos ficticios generados por IA promueve un impacto positivo</w:t>
      </w:r>
    </w:p>
    <w:p>
      <w:pPr>
        <w:pStyle w:val="Heading2"/>
      </w:pPr>
      <w:r>
        <w:rPr>
          <w:rFonts w:ascii="Calibri" w:hAnsi="Calibri"/>
          <w:color w:val="2F4B3C"/>
        </w:rPr>
        <w:t>4.1. Desmaterialización y economía circular</w:t>
      </w:r>
    </w:p>
    <w:p>
      <w:pPr>
        <w:jc w:val="both"/>
      </w:pPr>
      <w:r>
        <w:rPr>
          <w:b w:val="0"/>
          <w:i w:val="0"/>
        </w:rPr>
        <w:t>El palo santo (Gonopterodendron sarmientoi) que las piezas de Woodbird representan es una especie del bosque nativo chaqueño incluida en el Apéndice II de CITES y alcanzada por la Ley 26.331 de presupuestos mínimos de protección de bosques nativos, según se detalla en el informe de marca y dominios de este mismo proyecto. Al reemplazar la producción física por un catálogo sintético, Woodbird desmaterializa por completo el producto: no se tala un solo ejemplar, no se consume materia prima y no se generan residuos de tallado. Esta es la forma más directa en que un negocio digital puede aplicar un principio de economía circular: en lugar de reducir o reciclar el consumo de un recurso escaso, elimina la necesidad de extraerlo desde el origen.</w:t>
      </w:r>
    </w:p>
    <w:p>
      <w:pPr>
        <w:pStyle w:val="Heading2"/>
      </w:pPr>
      <w:r>
        <w:rPr>
          <w:rFonts w:ascii="Calibri" w:hAnsi="Calibri"/>
          <w:color w:val="2F4B3C"/>
        </w:rPr>
        <w:t>4.2. Impacto ambiental</w:t>
      </w:r>
    </w:p>
    <w:p>
      <w:pPr>
        <w:pStyle w:val="ListBullet"/>
      </w:pPr>
      <w:r>
        <w:t>Huella material nula: la operación completa del negocio, catálogo, imágenes, checkout, vive en un sitio web. No hay tala, transporte de madera ni transformación de materia prima que compensar.</w:t>
      </w:r>
    </w:p>
    <w:p>
      <w:pPr>
        <w:pStyle w:val="ListBullet"/>
      </w:pPr>
      <w:r>
        <w:t>Sin logística de envío: al no existir producto físico, tampoco existe la huella de carbono asociada al transporte de mercadería ni a las devoluciones, un costo ambiental que un comercio tradicional de artesanías sí asume.</w:t>
      </w:r>
    </w:p>
    <w:p>
      <w:pPr>
        <w:pStyle w:val="ListBullet"/>
      </w:pPr>
      <w:r>
        <w:t>Efecto de visibilización: cada ficha de producto documenta el régimen de protección del palo santo, convirtiendo la simulación comercial en una pieza de divulgación sobre el estado de la especie.</w:t>
      </w:r>
    </w:p>
    <w:p>
      <w:pPr>
        <w:pStyle w:val="Heading2"/>
      </w:pPr>
      <w:r>
        <w:rPr>
          <w:rFonts w:ascii="Calibri" w:hAnsi="Calibri"/>
          <w:color w:val="2F4B3C"/>
        </w:rPr>
        <w:t>4.3. Impacto social</w:t>
      </w:r>
    </w:p>
    <w:p>
      <w:pPr>
        <w:pStyle w:val="ListBullet"/>
      </w:pPr>
      <w:r>
        <w:t>Valorización de un oficio regional: el proyecto pone en agenda un oficio artesanal del nordeste argentino, el tallado en maderas nativas del Chaco, que tiene escasa visibilidad en canales digitales.</w:t>
      </w:r>
    </w:p>
    <w:p>
      <w:pPr>
        <w:pStyle w:val="ListBullet"/>
      </w:pPr>
      <w:r>
        <w:t>Transferencia de conocimiento abierta: la documentación técnica, legal y de negocio generada en este proyecto académico queda disponible para que emprendedores reales del rubro puedan reutilizarla al montar su propio canal de venta online, sin partir de cero.</w:t>
      </w:r>
    </w:p>
    <w:p>
      <w:pPr>
        <w:pStyle w:val="ListBullet"/>
      </w:pPr>
      <w:r>
        <w:t>Accesibilidad digital: al diseñarse como sitio propio y no como un local físico, el catálogo es alcanzable por personas con movilidad reducida o fuera del horario comercial tradicional, ampliando quién puede acceder a la oferta.</w:t>
      </w:r>
    </w:p>
    <w:p>
      <w:pPr>
        <w:pStyle w:val="Heading1"/>
      </w:pPr>
      <w:r>
        <w:rPr>
          <w:rFonts w:ascii="Calibri" w:hAnsi="Calibri"/>
          <w:color w:val="2F4B3C"/>
        </w:rPr>
        <w:t>5. Lógica de escalabilidad digital vs. física</w:t>
      </w:r>
    </w:p>
    <w:p>
      <w:pPr>
        <w:jc w:val="both"/>
      </w:pPr>
      <w:r>
        <w:rPr>
          <w:b w:val="0"/>
          <w:i w:val="0"/>
        </w:rPr>
        <w:t>La diferencia de fondo entre Woodbird y un comercio artesanal tradicional no es solamente de canal, sino de estructura de costos frente al crecimiento. En el modelo físico, cada unidad adicional vendida implica más materia prima, más horas de trabajo manual y, superado cierto volumen, más espacio de exhibición o personal. En el modelo de Woodbird, el costo marginal de atender a un cliente adicional, o a una provincia donde antes no se tenía presencia, es prácticamente nulo: el mismo catálogo, el mismo sitio y la misma base de datos sirven a un visitante o a mil, sin que eso exija talar un solo árbol más. Esa es la escalabilidad propia del software aplicada a un rubro que, en su versión tradicional, escala linealmente con el consumo de un recurso natural protegido.</w:t>
      </w:r>
    </w:p>
    <w:p>
      <w:pPr>
        <w:pStyle w:val="Heading1"/>
      </w:pPr>
      <w:r>
        <w:rPr>
          <w:rFonts w:ascii="Calibri" w:hAnsi="Calibri"/>
          <w:color w:val="2F4B3C"/>
        </w:rPr>
        <w:t>6. Conclusión</w:t>
      </w:r>
    </w:p>
    <w:p>
      <w:pPr>
        <w:jc w:val="both"/>
      </w:pPr>
      <w:r>
        <w:rPr>
          <w:b w:val="0"/>
          <w:i w:val="0"/>
        </w:rPr>
        <w:t>Woodbird demuestra, a escala de proyecto académico, que un modelo de negocio digital puede desacoplar el crecimiento comercial del consumo de un recurso natural amenazado. La decisión de operar con un catálogo enteramente generado por Inteligencia Artificial no es sólo un recurso de prototipado: es la estrategia central de triple impacto del proyecto, en la medida en que evita la extracción de palo santo (impacto ambiental), pone en valor y documenta un oficio regional (impacto social) y conserva una estructura de costos escalable propia de una startup de software (impacto económico).</w:t>
      </w:r>
    </w:p>
    <w:p>
      <w:pPr>
        <w:jc w:val="center"/>
      </w:pPr>
      <w:r>
        <w:rPr>
          <w:i/>
          <w:color w:val="444444"/>
          <w:sz w:val="16"/>
        </w:rPr>
        <w:t>Woodbird — Proyecto de simulación académica interdisciplinar · IES "René Favaloro" · Tecnicatura Superior en Desarrollo de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