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A5A50"/>
          <w:sz w:val="20"/>
          <w:szCs w:val="20"/>
        </w:rPr>
        <w:t xml:space="preserve">Proyecto interdisciplinar · Sitio web de ventas</w:t>
      </w:r>
    </w:p>
    <w:p>
      <w:pPr>
        <w:spacing w:after="120"/>
      </w:pPr>
      <w:r>
        <w:rPr>
          <w:rFonts w:ascii="Calibri" w:cs="Calibri" w:eastAsia="Calibri" w:hAnsi="Calibri"/>
          <w:b/>
          <w:bCs/>
          <w:color w:val="3D4A28"/>
          <w:sz w:val="40"/>
          <w:szCs w:val="40"/>
        </w:rPr>
        <w:t xml:space="preserve">Análisis de Viabilidad de Marca y Registro de Dominios</w:t>
      </w:r>
    </w:p>
    <w:p>
      <w:pPr>
        <w:pBdr>
          <w:bottom w:val="single" w:color="3D4A28" w:sz="8" w:space="8"/>
        </w:pBdr>
        <w:spacing w:after="260"/>
      </w:pPr>
      <w:r>
        <w:rPr>
          <w:rFonts w:ascii="Calibri" w:cs="Calibri" w:eastAsia="Calibri" w:hAnsi="Calibri"/>
          <w:color w:val="1A1A16"/>
          <w:sz w:val="26"/>
          <w:szCs w:val="26"/>
        </w:rPr>
        <w:t xml:space="preserve">Startup Woodbird — Aves decorativas de madera</w:t>
      </w:r>
    </w:p>
    <w:tbl>
      <w:tblPr>
        <w:tblW w:type="dxa" w:w="9000"/>
        <w:tblBorders>
          <w:top w:val="single" w:color="C9C2A8" w:sz="4"/>
          <w:left w:val="single" w:color="C9C2A8" w:sz="4"/>
          <w:bottom w:val="single" w:color="C9C2A8" w:sz="4"/>
          <w:right w:val="single" w:color="C9C2A8" w:sz="4"/>
          <w:insideH w:val="single" w:color="C9C2A8" w:sz="4"/>
          <w:insideV w:val="single" w:color="C9C2A8" w:sz="4"/>
        </w:tblBorders>
      </w:tblPr>
      <w:tblGrid>
        <w:gridCol w:w="2600"/>
        <w:gridCol w:w="6400"/>
      </w:tblGrid>
      <w:tr>
        <w:trPr>
          <w:tblHeader/>
        </w:trPr>
        <w:tc>
          <w:tcPr>
            <w:tcW w:type="dxa" w:w="26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Dato</w:t>
            </w:r>
          </w:p>
        </w:tc>
        <w:tc>
          <w:tcPr>
            <w:tcW w:type="dxa" w:w="6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Detalle</w:t>
            </w:r>
          </w:p>
        </w:tc>
      </w:tr>
      <w:tr>
        <w:tc>
          <w:tcPr>
            <w:tcW w:type="dxa" w:w="2600"/>
            <w:tcMar>
              <w:top w:type="dxa" w:w="90"/>
              <w:left w:type="dxa" w:w="130"/>
              <w:bottom w:type="dxa" w:w="90"/>
              <w:right w:type="dxa" w:w="130"/>
            </w:tcMar>
          </w:tcPr>
          <w:p>
            <w:pPr>
              <w:jc w:val="left"/>
            </w:pPr>
            <w:r>
              <w:rPr>
                <w:rFonts w:ascii="Calibri" w:cs="Calibri" w:eastAsia="Calibri" w:hAnsi="Calibri"/>
                <w:b/>
                <w:bCs/>
                <w:color w:val="1A1A16"/>
                <w:sz w:val="20"/>
                <w:szCs w:val="20"/>
              </w:rPr>
              <w:t xml:space="preserve">Materia</w:t>
            </w:r>
          </w:p>
        </w:tc>
        <w:tc>
          <w:tcPr>
            <w:tcW w:type="dxa" w:w="6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Legislación e Impositiva (LI)</w:t>
            </w:r>
          </w:p>
        </w:tc>
      </w:tr>
      <w:tr>
        <w:tc>
          <w:tcPr>
            <w:tcW w:type="dxa" w:w="26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Actividad</w:t>
            </w:r>
          </w:p>
        </w:tc>
        <w:tc>
          <w:tcPr>
            <w:tcW w:type="dxa" w:w="6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Sprint 1 — Semana 1 — Actividad 4</w:t>
            </w:r>
          </w:p>
        </w:tc>
      </w:tr>
      <w:tr>
        <w:tc>
          <w:tcPr>
            <w:tcW w:type="dxa" w:w="2600"/>
            <w:tcMar>
              <w:top w:type="dxa" w:w="90"/>
              <w:left w:type="dxa" w:w="130"/>
              <w:bottom w:type="dxa" w:w="90"/>
              <w:right w:type="dxa" w:w="130"/>
            </w:tcMar>
          </w:tcPr>
          <w:p>
            <w:pPr>
              <w:jc w:val="left"/>
            </w:pPr>
            <w:r>
              <w:rPr>
                <w:rFonts w:ascii="Calibri" w:cs="Calibri" w:eastAsia="Calibri" w:hAnsi="Calibri"/>
                <w:b/>
                <w:bCs/>
                <w:color w:val="1A1A16"/>
                <w:sz w:val="20"/>
                <w:szCs w:val="20"/>
              </w:rPr>
              <w:t xml:space="preserve">Autor</w:t>
            </w:r>
          </w:p>
        </w:tc>
        <w:tc>
          <w:tcPr>
            <w:tcW w:type="dxa" w:w="6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Reiss Jorge Nicolás</w:t>
            </w:r>
          </w:p>
        </w:tc>
      </w:tr>
      <w:tr>
        <w:tc>
          <w:tcPr>
            <w:tcW w:type="dxa" w:w="26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Docente</w:t>
            </w:r>
          </w:p>
        </w:tc>
        <w:tc>
          <w:tcPr>
            <w:tcW w:type="dxa" w:w="6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Ibañez Erick</w:t>
            </w:r>
          </w:p>
        </w:tc>
      </w:tr>
      <w:tr>
        <w:tc>
          <w:tcPr>
            <w:tcW w:type="dxa" w:w="2600"/>
            <w:tcMar>
              <w:top w:type="dxa" w:w="90"/>
              <w:left w:type="dxa" w:w="130"/>
              <w:bottom w:type="dxa" w:w="90"/>
              <w:right w:type="dxa" w:w="130"/>
            </w:tcMar>
          </w:tcPr>
          <w:p>
            <w:pPr>
              <w:jc w:val="left"/>
            </w:pPr>
            <w:r>
              <w:rPr>
                <w:rFonts w:ascii="Calibri" w:cs="Calibri" w:eastAsia="Calibri" w:hAnsi="Calibri"/>
                <w:b/>
                <w:bCs/>
                <w:color w:val="1A1A16"/>
                <w:sz w:val="20"/>
                <w:szCs w:val="20"/>
              </w:rPr>
              <w:t xml:space="preserve">Fecha</w:t>
            </w:r>
          </w:p>
        </w:tc>
        <w:tc>
          <w:tcPr>
            <w:tcW w:type="dxa" w:w="6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 de septiembre de 2026</w:t>
            </w:r>
          </w:p>
        </w:tc>
      </w:tr>
      <w:tr>
        <w:tc>
          <w:tcPr>
            <w:tcW w:type="dxa" w:w="26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Jurisdicción</w:t>
            </w:r>
          </w:p>
        </w:tc>
        <w:tc>
          <w:tcPr>
            <w:tcW w:type="dxa" w:w="6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República Argentina — provincia del Chaco</w:t>
            </w:r>
          </w:p>
        </w:tc>
      </w:tr>
    </w:tbl>
    <w:p>
      <w:pPr>
        <w:spacing w:after="240"/>
      </w:pPr>
    </w:p>
    <w:p>
      <w:pPr>
        <w:pStyle w:val="Heading1"/>
        <w:pBdr>
          <w:bottom w:val="single" w:color="3D4A28" w:sz="8" w:space="6"/>
        </w:pBdr>
        <w:spacing w:after="160" w:before="360"/>
      </w:pPr>
      <w:r>
        <w:rPr>
          <w:rFonts w:ascii="Calibri" w:cs="Calibri" w:eastAsia="Calibri" w:hAnsi="Calibri"/>
          <w:b/>
          <w:bCs/>
          <w:color w:val="3D4A28"/>
          <w:sz w:val="30"/>
          <w:szCs w:val="30"/>
        </w:rPr>
        <w:t xml:space="preserve">1. Objeto y alcance</w:t>
      </w:r>
    </w:p>
    <w:p>
      <w:pPr>
        <w:spacing w:after="130" w:line="300"/>
        <w:jc w:val="both"/>
      </w:pPr>
      <w:r>
        <w:rPr>
          <w:rFonts w:ascii="Calibri" w:cs="Calibri" w:eastAsia="Calibri" w:hAnsi="Calibri"/>
          <w:i w:val="false"/>
          <w:iCs w:val="false"/>
          <w:color w:val="1A1A16"/>
          <w:sz w:val="22"/>
          <w:szCs w:val="22"/>
        </w:rPr>
        <w:t xml:space="preserve">El presente informe analiza los pasos legales necesarios para registrar la marca comercial de la startup Woodbird en la República Argentina, simula la verificación de disponibilidad del signo elegido y fundamenta la selección de la zona de dominio de internet que la empresa solicitará ante NIC Argentina, con el detalle de los requisitos exigidos por ese organismo.</w:t>
      </w:r>
    </w:p>
    <w:p>
      <w:pPr>
        <w:spacing w:after="130" w:line="300"/>
        <w:jc w:val="both"/>
      </w:pPr>
      <w:r>
        <w:rPr>
          <w:rFonts w:ascii="Calibri" w:cs="Calibri" w:eastAsia="Calibri" w:hAnsi="Calibri"/>
          <w:i w:val="false"/>
          <w:iCs w:val="false"/>
          <w:color w:val="1A1A16"/>
          <w:sz w:val="22"/>
          <w:szCs w:val="22"/>
        </w:rPr>
        <w:t xml:space="preserve">Woodbird se define como una tienda en línea dedicada a la comercialización de aves decorativas talladas en maderas nativas del Chaco, principalmente palo santo. Esa caracterización del producto determina tanto la clase en la que corresponde solicitar el registro marcario como una obligación ambiental específica que se analiza en el apartado 6.</w:t>
      </w:r>
    </w:p>
    <w:p>
      <w:pPr>
        <w:spacing w:after="130" w:line="300"/>
        <w:jc w:val="both"/>
      </w:pPr>
      <w:r>
        <w:rPr>
          <w:rFonts w:ascii="Calibri" w:cs="Calibri" w:eastAsia="Calibri" w:hAnsi="Calibri"/>
          <w:b/>
          <w:bCs/>
          <w:i w:val="false"/>
          <w:iCs w:val="false"/>
          <w:color w:val="1A1A16"/>
          <w:sz w:val="22"/>
          <w:szCs w:val="22"/>
        </w:rPr>
        <w:t xml:space="preserve">Aclaración metodológica. </w:t>
      </w:r>
      <w:r>
        <w:rPr>
          <w:rFonts w:ascii="Calibri" w:cs="Calibri" w:eastAsia="Calibri" w:hAnsi="Calibri"/>
          <w:b w:val="false"/>
          <w:bCs w:val="false"/>
          <w:i/>
          <w:iCs/>
          <w:color w:val="1A1A16"/>
          <w:sz w:val="22"/>
          <w:szCs w:val="22"/>
        </w:rPr>
        <w:t xml:space="preserve">Este documento se elabora en el marco de un proyecto académico. La verificación de disponibilidad del signo constituye una simulación con fines didácticos y no reemplaza la búsqueda de antecedentes oficial ni el asesoramiento de un agente de la propiedad industrial matriculado ante el INPI. Los importes indicados son valores de referencia sujetos a actualización periódica.</w:t>
      </w:r>
    </w:p>
    <w:p>
      <w:pPr>
        <w:pStyle w:val="Heading1"/>
        <w:pBdr>
          <w:bottom w:val="single" w:color="3D4A28" w:sz="8" w:space="6"/>
        </w:pBdr>
        <w:spacing w:after="160" w:before="360"/>
      </w:pPr>
      <w:r>
        <w:rPr>
          <w:rFonts w:ascii="Calibri" w:cs="Calibri" w:eastAsia="Calibri" w:hAnsi="Calibri"/>
          <w:b/>
          <w:bCs/>
          <w:color w:val="3D4A28"/>
          <w:sz w:val="30"/>
          <w:szCs w:val="30"/>
        </w:rPr>
        <w:t xml:space="preserve">2. Marco normativo aplicable</w:t>
      </w:r>
    </w:p>
    <w:p>
      <w:pPr>
        <w:pStyle w:val="ListParagraph"/>
        <w:numPr>
          <w:ilvl w:val="0"/>
          <w:numId w:val="1"/>
        </w:numPr>
        <w:spacing w:after="90" w:line="290"/>
        <w:jc w:val="both"/>
      </w:pPr>
      <w:r>
        <w:rPr>
          <w:rFonts w:ascii="Calibri" w:cs="Calibri" w:eastAsia="Calibri" w:hAnsi="Calibri"/>
          <w:b/>
          <w:bCs/>
          <w:sz w:val="22"/>
          <w:szCs w:val="22"/>
        </w:rPr>
        <w:t xml:space="preserve">Ley 22.362 — </w:t>
      </w:r>
      <w:r>
        <w:rPr>
          <w:rFonts w:ascii="Calibri" w:cs="Calibri" w:eastAsia="Calibri" w:hAnsi="Calibri"/>
          <w:sz w:val="22"/>
          <w:szCs w:val="22"/>
        </w:rPr>
        <w:t xml:space="preserve">regula el régimen de marcas y designaciones. Es la norma central del análisis.</w:t>
      </w:r>
    </w:p>
    <w:p>
      <w:pPr>
        <w:pStyle w:val="ListParagraph"/>
        <w:numPr>
          <w:ilvl w:val="0"/>
          <w:numId w:val="1"/>
        </w:numPr>
        <w:spacing w:after="90" w:line="290"/>
        <w:jc w:val="both"/>
      </w:pPr>
      <w:r>
        <w:rPr>
          <w:rFonts w:ascii="Calibri" w:cs="Calibri" w:eastAsia="Calibri" w:hAnsi="Calibri"/>
          <w:b/>
          <w:bCs/>
          <w:sz w:val="22"/>
          <w:szCs w:val="22"/>
        </w:rPr>
        <w:t xml:space="preserve">Ley 24.481 (t.o. 1996) — </w:t>
      </w:r>
      <w:r>
        <w:rPr>
          <w:rFonts w:ascii="Calibri" w:cs="Calibri" w:eastAsia="Calibri" w:hAnsi="Calibri"/>
          <w:sz w:val="22"/>
          <w:szCs w:val="22"/>
        </w:rPr>
        <w:t xml:space="preserve">crea el Instituto Nacional de la Propiedad Industrial (INPI) como autoridad de aplicación.</w:t>
      </w:r>
    </w:p>
    <w:p>
      <w:pPr>
        <w:pStyle w:val="ListParagraph"/>
        <w:numPr>
          <w:ilvl w:val="0"/>
          <w:numId w:val="1"/>
        </w:numPr>
        <w:spacing w:after="90" w:line="290"/>
        <w:jc w:val="both"/>
      </w:pPr>
      <w:r>
        <w:rPr>
          <w:rFonts w:ascii="Calibri" w:cs="Calibri" w:eastAsia="Calibri" w:hAnsi="Calibri"/>
          <w:b/>
          <w:bCs/>
          <w:sz w:val="22"/>
          <w:szCs w:val="22"/>
        </w:rPr>
        <w:t xml:space="preserve">Resolución INPI 75/2026 — </w:t>
      </w:r>
      <w:r>
        <w:rPr>
          <w:rFonts w:ascii="Calibri" w:cs="Calibri" w:eastAsia="Calibri" w:hAnsi="Calibri"/>
          <w:sz w:val="22"/>
          <w:szCs w:val="22"/>
        </w:rPr>
        <w:t xml:space="preserve">establece el nuevo esquema arancelario del INPI y crea la Unidad de Medida Arancelaria de la Propiedad Industrial (UMAPI), con actualización mensual por el Índice de Precios al Consumidor del INDEC.</w:t>
      </w:r>
    </w:p>
    <w:p>
      <w:pPr>
        <w:pStyle w:val="ListParagraph"/>
        <w:numPr>
          <w:ilvl w:val="0"/>
          <w:numId w:val="1"/>
        </w:numPr>
        <w:spacing w:after="90" w:line="290"/>
        <w:jc w:val="both"/>
      </w:pPr>
      <w:r>
        <w:rPr>
          <w:rFonts w:ascii="Calibri" w:cs="Calibri" w:eastAsia="Calibri" w:hAnsi="Calibri"/>
          <w:b/>
          <w:bCs/>
          <w:sz w:val="22"/>
          <w:szCs w:val="22"/>
        </w:rPr>
        <w:t xml:space="preserve">Resolución INPI 583/2025 — </w:t>
      </w:r>
      <w:r>
        <w:rPr>
          <w:rFonts w:ascii="Calibri" w:cs="Calibri" w:eastAsia="Calibri" w:hAnsi="Calibri"/>
          <w:sz w:val="22"/>
          <w:szCs w:val="22"/>
        </w:rPr>
        <w:t xml:space="preserve">reforma el procedimiento de examen y publicación de solicitudes marcarias, vigente desde marzo de 2026.</w:t>
      </w:r>
    </w:p>
    <w:p>
      <w:pPr>
        <w:pStyle w:val="ListParagraph"/>
        <w:numPr>
          <w:ilvl w:val="0"/>
          <w:numId w:val="1"/>
        </w:numPr>
        <w:spacing w:after="90" w:line="290"/>
        <w:jc w:val="both"/>
      </w:pPr>
      <w:r>
        <w:rPr>
          <w:rFonts w:ascii="Calibri" w:cs="Calibri" w:eastAsia="Calibri" w:hAnsi="Calibri"/>
          <w:b/>
          <w:bCs/>
          <w:sz w:val="22"/>
          <w:szCs w:val="22"/>
        </w:rPr>
        <w:t xml:space="preserve">Reglamento para la Administración de Dominios de Internet en Argentina — </w:t>
      </w:r>
      <w:r>
        <w:rPr>
          <w:rFonts w:ascii="Calibri" w:cs="Calibri" w:eastAsia="Calibri" w:hAnsi="Calibri"/>
          <w:sz w:val="22"/>
          <w:szCs w:val="22"/>
        </w:rPr>
        <w:t xml:space="preserve">regula el registro de nombres de dominio bajo el código de país .AR, a cargo de la Dirección Nacional del Registro de Dominios de Internet (NIC Argentina).</w:t>
      </w:r>
    </w:p>
    <w:p>
      <w:pPr>
        <w:pStyle w:val="ListParagraph"/>
        <w:numPr>
          <w:ilvl w:val="0"/>
          <w:numId w:val="1"/>
        </w:numPr>
        <w:spacing w:after="90" w:line="290"/>
        <w:jc w:val="both"/>
      </w:pPr>
      <w:r>
        <w:rPr>
          <w:rFonts w:ascii="Calibri" w:cs="Calibri" w:eastAsia="Calibri" w:hAnsi="Calibri"/>
          <w:b/>
          <w:bCs/>
          <w:sz w:val="22"/>
          <w:szCs w:val="22"/>
        </w:rPr>
        <w:t xml:space="preserve">Ley 26.331 — </w:t>
      </w:r>
      <w:r>
        <w:rPr>
          <w:rFonts w:ascii="Calibri" w:cs="Calibri" w:eastAsia="Calibri" w:hAnsi="Calibri"/>
          <w:sz w:val="22"/>
          <w:szCs w:val="22"/>
        </w:rPr>
        <w:t xml:space="preserve">presupuestos mínimos de protección ambiental de los bosques nativos.</w:t>
      </w:r>
    </w:p>
    <w:p>
      <w:pPr>
        <w:pStyle w:val="ListParagraph"/>
        <w:numPr>
          <w:ilvl w:val="0"/>
          <w:numId w:val="1"/>
        </w:numPr>
        <w:spacing w:after="90" w:line="290"/>
        <w:jc w:val="both"/>
      </w:pPr>
      <w:r>
        <w:rPr>
          <w:rFonts w:ascii="Calibri" w:cs="Calibri" w:eastAsia="Calibri" w:hAnsi="Calibri"/>
          <w:b/>
          <w:bCs/>
          <w:sz w:val="22"/>
          <w:szCs w:val="22"/>
        </w:rPr>
        <w:t xml:space="preserve">Ley 22.344 — </w:t>
      </w:r>
      <w:r>
        <w:rPr>
          <w:rFonts w:ascii="Calibri" w:cs="Calibri" w:eastAsia="Calibri" w:hAnsi="Calibri"/>
          <w:sz w:val="22"/>
          <w:szCs w:val="22"/>
        </w:rPr>
        <w:t xml:space="preserve">aprueba la Convención sobre el Comercio Internacional de Especies Amenazadas de Fauna y Flora Silvestres (CITES), relevante por la especie utilizada como materia prima.</w:t>
      </w:r>
    </w:p>
    <w:p>
      <w:pPr>
        <w:pStyle w:val="Heading1"/>
        <w:pBdr>
          <w:bottom w:val="single" w:color="3D4A28" w:sz="8" w:space="6"/>
        </w:pBdr>
        <w:spacing w:after="160" w:before="360"/>
      </w:pPr>
      <w:r>
        <w:rPr>
          <w:rFonts w:ascii="Calibri" w:cs="Calibri" w:eastAsia="Calibri" w:hAnsi="Calibri"/>
          <w:b/>
          <w:bCs/>
          <w:color w:val="3D4A28"/>
          <w:sz w:val="30"/>
          <w:szCs w:val="30"/>
        </w:rPr>
        <w:t xml:space="preserve">3. Procedimiento de registro de marca ante el INPI</w:t>
      </w:r>
    </w:p>
    <w:p>
      <w:pPr>
        <w:spacing w:after="130" w:line="300"/>
        <w:jc w:val="both"/>
      </w:pPr>
      <w:r>
        <w:rPr>
          <w:rFonts w:ascii="Calibri" w:cs="Calibri" w:eastAsia="Calibri" w:hAnsi="Calibri"/>
          <w:i w:val="false"/>
          <w:iCs w:val="false"/>
          <w:color w:val="1A1A16"/>
          <w:sz w:val="22"/>
          <w:szCs w:val="22"/>
        </w:rPr>
        <w:t xml:space="preserve">El trámite se realiza íntegramente en línea a través del portal de trámites del INPI. La secuencia completa comprende las siguientes etapas.</w:t>
      </w:r>
    </w:p>
    <w:p>
      <w:pPr>
        <w:pStyle w:val="Heading2"/>
        <w:spacing w:after="100" w:before="260"/>
      </w:pPr>
      <w:r>
        <w:rPr>
          <w:rFonts w:ascii="Calibri" w:cs="Calibri" w:eastAsia="Calibri" w:hAnsi="Calibri"/>
          <w:b/>
          <w:bCs/>
          <w:color w:val="3D4A28"/>
          <w:sz w:val="24"/>
          <w:szCs w:val="24"/>
        </w:rPr>
        <w:t xml:space="preserve">3.1. Búsqueda de antecedentes</w:t>
      </w:r>
    </w:p>
    <w:p>
      <w:pPr>
        <w:spacing w:after="130" w:line="300"/>
        <w:jc w:val="both"/>
      </w:pPr>
      <w:r>
        <w:rPr>
          <w:rFonts w:ascii="Calibri" w:cs="Calibri" w:eastAsia="Calibri" w:hAnsi="Calibri"/>
          <w:i w:val="false"/>
          <w:iCs w:val="false"/>
          <w:color w:val="1A1A16"/>
          <w:sz w:val="22"/>
          <w:szCs w:val="22"/>
        </w:rPr>
        <w:t xml:space="preserve">Antes de presentar y abonar cualquier arancel corresponde consultar la base de datos de marcas del INPI para descartar la existencia de signos idénticos o confundibles en las clases de interés. El arancel abonado no es reembolsable: si la solicitud es rechazada por la existencia de una marca anterior o por un defecto formal, el importe se pierde. La búsqueda previa es, por lo tanto, la etapa que más riesgo económico evita.</w:t>
      </w:r>
    </w:p>
    <w:p>
      <w:pPr>
        <w:pStyle w:val="Heading2"/>
        <w:spacing w:after="100" w:before="260"/>
      </w:pPr>
      <w:r>
        <w:rPr>
          <w:rFonts w:ascii="Calibri" w:cs="Calibri" w:eastAsia="Calibri" w:hAnsi="Calibri"/>
          <w:b/>
          <w:bCs/>
          <w:color w:val="3D4A28"/>
          <w:sz w:val="24"/>
          <w:szCs w:val="24"/>
        </w:rPr>
        <w:t xml:space="preserve">3.2. Definición del titular</w:t>
      </w:r>
    </w:p>
    <w:p>
      <w:pPr>
        <w:spacing w:after="130" w:line="300"/>
        <w:jc w:val="both"/>
      </w:pPr>
      <w:r>
        <w:rPr>
          <w:rFonts w:ascii="Calibri" w:cs="Calibri" w:eastAsia="Calibri" w:hAnsi="Calibri"/>
          <w:i w:val="false"/>
          <w:iCs w:val="false"/>
          <w:color w:val="1A1A16"/>
          <w:sz w:val="22"/>
          <w:szCs w:val="22"/>
        </w:rPr>
        <w:t xml:space="preserve">Debe determinarse si la marca se solicitará a nombre de una persona humana o de una persona jurídica. En el caso de Woodbird, mientras la startup no se constituya societariamente, el titular será una persona humana, lo que exige nombre completo, DNI, CUIT o CUIL y domicilio constituido en la República Argentina.</w:t>
      </w:r>
    </w:p>
    <w:p>
      <w:pPr>
        <w:pStyle w:val="Heading2"/>
        <w:spacing w:after="100" w:before="260"/>
      </w:pPr>
      <w:r>
        <w:rPr>
          <w:rFonts w:ascii="Calibri" w:cs="Calibri" w:eastAsia="Calibri" w:hAnsi="Calibri"/>
          <w:b/>
          <w:bCs/>
          <w:color w:val="3D4A28"/>
          <w:sz w:val="24"/>
          <w:szCs w:val="24"/>
        </w:rPr>
        <w:t xml:space="preserve">3.3. Determinación de las clases (Clasificación de Niza)</w:t>
      </w:r>
    </w:p>
    <w:p>
      <w:pPr>
        <w:spacing w:after="130" w:line="300"/>
        <w:jc w:val="both"/>
      </w:pPr>
      <w:r>
        <w:rPr>
          <w:rFonts w:ascii="Calibri" w:cs="Calibri" w:eastAsia="Calibri" w:hAnsi="Calibri"/>
          <w:i w:val="false"/>
          <w:iCs w:val="false"/>
          <w:color w:val="1A1A16"/>
          <w:sz w:val="22"/>
          <w:szCs w:val="22"/>
        </w:rPr>
        <w:t xml:space="preserve">El registro marcario no protege el signo de manera universal, sino únicamente respecto de los productos o servicios de las clases solicitadas. Cada clase se abona por separado. Para el giro de Woodbird se identifican las siguientes:</w:t>
      </w:r>
    </w:p>
    <w:p>
      <w:pPr>
        <w:spacing w:after="60"/>
      </w:pPr>
    </w:p>
    <w:tbl>
      <w:tblPr>
        <w:tblW w:type="dxa" w:w="9000"/>
        <w:tblBorders>
          <w:top w:val="single" w:color="C9C2A8" w:sz="4"/>
          <w:left w:val="single" w:color="C9C2A8" w:sz="4"/>
          <w:bottom w:val="single" w:color="C9C2A8" w:sz="4"/>
          <w:right w:val="single" w:color="C9C2A8" w:sz="4"/>
          <w:insideH w:val="single" w:color="C9C2A8" w:sz="4"/>
          <w:insideV w:val="single" w:color="C9C2A8" w:sz="4"/>
        </w:tblBorders>
      </w:tblPr>
      <w:tblGrid>
        <w:gridCol w:w="1000"/>
        <w:gridCol w:w="4300"/>
        <w:gridCol w:w="3700"/>
      </w:tblGrid>
      <w:tr>
        <w:trPr>
          <w:tblHeader/>
        </w:trPr>
        <w:tc>
          <w:tcPr>
            <w:tcW w:type="dxa" w:w="10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Clase</w:t>
            </w:r>
          </w:p>
        </w:tc>
        <w:tc>
          <w:tcPr>
            <w:tcW w:type="dxa" w:w="43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Comprende</w:t>
            </w:r>
          </w:p>
        </w:tc>
        <w:tc>
          <w:tcPr>
            <w:tcW w:type="dxa" w:w="37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Aplicación a Woodbird</w:t>
            </w:r>
          </w:p>
        </w:tc>
      </w:tr>
      <w:tr>
        <w:tc>
          <w:tcPr>
            <w:tcW w:type="dxa" w:w="1000"/>
            <w:tcMar>
              <w:top w:type="dxa" w:w="90"/>
              <w:left w:type="dxa" w:w="130"/>
              <w:bottom w:type="dxa" w:w="90"/>
              <w:right w:type="dxa" w:w="130"/>
            </w:tcMar>
          </w:tcPr>
          <w:p>
            <w:pPr>
              <w:jc w:val="left"/>
            </w:pPr>
            <w:r>
              <w:rPr>
                <w:rFonts w:ascii="Calibri" w:cs="Calibri" w:eastAsia="Calibri" w:hAnsi="Calibri"/>
                <w:b/>
                <w:bCs/>
                <w:color w:val="1A1A16"/>
                <w:sz w:val="20"/>
                <w:szCs w:val="20"/>
              </w:rPr>
              <w:t xml:space="preserve">20</w:t>
            </w:r>
          </w:p>
        </w:tc>
        <w:tc>
          <w:tcPr>
            <w:tcW w:type="dxa" w:w="43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Muebles y productos de madera, cera, corcho, caña y sucedáneos; estatuillas, obras de arte y objetos de adorno de dichos materiales.</w:t>
            </w:r>
          </w:p>
        </w:tc>
        <w:tc>
          <w:tcPr>
            <w:tcW w:type="dxa" w:w="37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Clase principal. Es la que ampara directamente las aves decorativas talladas, que constituyen el producto vendido.</w:t>
            </w:r>
          </w:p>
        </w:tc>
      </w:tr>
      <w:tr>
        <w:tc>
          <w:tcPr>
            <w:tcW w:type="dxa" w:w="10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35</w:t>
            </w:r>
          </w:p>
        </w:tc>
        <w:tc>
          <w:tcPr>
            <w:tcW w:type="dxa" w:w="43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Publicidad, gestión de negocios comerciales y servicios de venta minorista, incluida la venta en línea.</w:t>
            </w:r>
          </w:p>
        </w:tc>
        <w:tc>
          <w:tcPr>
            <w:tcW w:type="dxa" w:w="37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Clase secundaria. Protege la actividad de tienda electrónica en sí misma, con independencia del objeto vendido.</w:t>
            </w:r>
          </w:p>
        </w:tc>
      </w:tr>
      <w:tr>
        <w:tc>
          <w:tcPr>
            <w:tcW w:type="dxa" w:w="1000"/>
            <w:tcMar>
              <w:top w:type="dxa" w:w="90"/>
              <w:left w:type="dxa" w:w="130"/>
              <w:bottom w:type="dxa" w:w="90"/>
              <w:right w:type="dxa" w:w="130"/>
            </w:tcMar>
          </w:tcPr>
          <w:p>
            <w:pPr>
              <w:jc w:val="left"/>
            </w:pPr>
            <w:r>
              <w:rPr>
                <w:rFonts w:ascii="Calibri" w:cs="Calibri" w:eastAsia="Calibri" w:hAnsi="Calibri"/>
                <w:b/>
                <w:bCs/>
                <w:color w:val="1A1A16"/>
                <w:sz w:val="20"/>
                <w:szCs w:val="20"/>
              </w:rPr>
              <w:t xml:space="preserve">28</w:t>
            </w:r>
          </w:p>
        </w:tc>
        <w:tc>
          <w:tcPr>
            <w:tcW w:type="dxa" w:w="43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Juegos, juguetes y artículos de gimnasia.</w:t>
            </w:r>
          </w:p>
        </w:tc>
        <w:tc>
          <w:tcPr>
            <w:tcW w:type="dxa" w:w="37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No aplicable. Se descarta expresamente porque las piezas son objetos ornamentales y no juguetes.</w:t>
            </w:r>
          </w:p>
        </w:tc>
      </w:tr>
    </w:tbl>
    <w:p>
      <w:pPr>
        <w:spacing w:after="140"/>
      </w:pPr>
    </w:p>
    <w:p>
      <w:pPr>
        <w:spacing w:after="130" w:line="300"/>
        <w:jc w:val="both"/>
      </w:pPr>
      <w:r>
        <w:rPr>
          <w:rFonts w:ascii="Calibri" w:cs="Calibri" w:eastAsia="Calibri" w:hAnsi="Calibri"/>
          <w:i w:val="false"/>
          <w:iCs w:val="false"/>
          <w:color w:val="1A1A16"/>
          <w:sz w:val="22"/>
          <w:szCs w:val="22"/>
        </w:rPr>
        <w:t xml:space="preserve">Se recomienda iniciar el registro en la clase 20 y evaluar la incorporación de la clase 35 en una segunda etapa, una vez consolidada la operación. Ampliar las clases sin relación con la actividad efectiva incrementa el costo y no aporta protección útil.</w:t>
      </w:r>
    </w:p>
    <w:p>
      <w:pPr>
        <w:pStyle w:val="Heading2"/>
        <w:spacing w:after="100" w:before="260"/>
      </w:pPr>
      <w:r>
        <w:rPr>
          <w:rFonts w:ascii="Calibri" w:cs="Calibri" w:eastAsia="Calibri" w:hAnsi="Calibri"/>
          <w:b/>
          <w:bCs/>
          <w:color w:val="3D4A28"/>
          <w:sz w:val="24"/>
          <w:szCs w:val="24"/>
        </w:rPr>
        <w:t xml:space="preserve">3.4. Tipo de marca</w:t>
      </w:r>
    </w:p>
    <w:p>
      <w:pPr>
        <w:spacing w:after="130" w:line="300"/>
        <w:jc w:val="both"/>
      </w:pPr>
      <w:r>
        <w:rPr>
          <w:rFonts w:ascii="Calibri" w:cs="Calibri" w:eastAsia="Calibri" w:hAnsi="Calibri"/>
          <w:i w:val="false"/>
          <w:iCs w:val="false"/>
          <w:color w:val="1A1A16"/>
          <w:sz w:val="22"/>
          <w:szCs w:val="22"/>
        </w:rPr>
        <w:t xml:space="preserve">La legislación admite marcas denominativas (únicamente la palabra), figurativas (únicamente el logotipo) y mixtas (la combinación de ambos). La elección incide directamente en la fuerza del registro, según se desarrolla en el apartado 4.</w:t>
      </w:r>
    </w:p>
    <w:p>
      <w:pPr>
        <w:pStyle w:val="Heading2"/>
        <w:spacing w:after="100" w:before="260"/>
      </w:pPr>
      <w:r>
        <w:rPr>
          <w:rFonts w:ascii="Calibri" w:cs="Calibri" w:eastAsia="Calibri" w:hAnsi="Calibri"/>
          <w:b/>
          <w:bCs/>
          <w:color w:val="3D4A28"/>
          <w:sz w:val="24"/>
          <w:szCs w:val="24"/>
        </w:rPr>
        <w:t xml:space="preserve">3.5. Presentación de la solicitud</w:t>
      </w:r>
    </w:p>
    <w:p>
      <w:pPr>
        <w:spacing w:after="130" w:line="300"/>
        <w:jc w:val="both"/>
      </w:pPr>
      <w:r>
        <w:rPr>
          <w:rFonts w:ascii="Calibri" w:cs="Calibri" w:eastAsia="Calibri" w:hAnsi="Calibri"/>
          <w:i w:val="false"/>
          <w:iCs w:val="false"/>
          <w:color w:val="1A1A16"/>
          <w:sz w:val="22"/>
          <w:szCs w:val="22"/>
        </w:rPr>
        <w:t xml:space="preserve">El trámite es totalmente digital. Requisitos operativos:</w:t>
      </w:r>
    </w:p>
    <w:p>
      <w:pPr>
        <w:pStyle w:val="ListParagraph"/>
        <w:numPr>
          <w:ilvl w:val="0"/>
          <w:numId w:val="1"/>
        </w:numPr>
        <w:spacing w:after="90" w:line="290"/>
        <w:jc w:val="both"/>
      </w:pPr>
      <w:r>
        <w:rPr>
          <w:rFonts w:ascii="Calibri" w:cs="Calibri" w:eastAsia="Calibri" w:hAnsi="Calibri"/>
          <w:sz w:val="22"/>
          <w:szCs w:val="22"/>
        </w:rPr>
        <w:t xml:space="preserve">CUIT o CUIL del solicitante.</w:t>
      </w:r>
    </w:p>
    <w:p>
      <w:pPr>
        <w:pStyle w:val="ListParagraph"/>
        <w:numPr>
          <w:ilvl w:val="0"/>
          <w:numId w:val="1"/>
        </w:numPr>
        <w:spacing w:after="90" w:line="290"/>
        <w:jc w:val="both"/>
      </w:pPr>
      <w:r>
        <w:rPr>
          <w:rFonts w:ascii="Calibri" w:cs="Calibri" w:eastAsia="Calibri" w:hAnsi="Calibri"/>
          <w:sz w:val="22"/>
          <w:szCs w:val="22"/>
        </w:rPr>
        <w:t xml:space="preserve">Clave Fiscal de nivel 2 o superior, obtenida en ARCA (ex AFIP).</w:t>
      </w:r>
    </w:p>
    <w:p>
      <w:pPr>
        <w:pStyle w:val="ListParagraph"/>
        <w:numPr>
          <w:ilvl w:val="0"/>
          <w:numId w:val="1"/>
        </w:numPr>
        <w:spacing w:after="90" w:line="290"/>
        <w:jc w:val="both"/>
      </w:pPr>
      <w:r>
        <w:rPr>
          <w:rFonts w:ascii="Calibri" w:cs="Calibri" w:eastAsia="Calibri" w:hAnsi="Calibri"/>
          <w:sz w:val="22"/>
          <w:szCs w:val="22"/>
        </w:rPr>
        <w:t xml:space="preserve">Adhesión del servicio INPI al perfil del contribuyente en el portal de ARCA.</w:t>
      </w:r>
    </w:p>
    <w:p>
      <w:pPr>
        <w:pStyle w:val="ListParagraph"/>
        <w:numPr>
          <w:ilvl w:val="0"/>
          <w:numId w:val="1"/>
        </w:numPr>
        <w:spacing w:after="90" w:line="290"/>
        <w:jc w:val="both"/>
      </w:pPr>
      <w:r>
        <w:rPr>
          <w:rFonts w:ascii="Calibri" w:cs="Calibri" w:eastAsia="Calibri" w:hAnsi="Calibri"/>
          <w:sz w:val="22"/>
          <w:szCs w:val="22"/>
        </w:rPr>
        <w:t xml:space="preserve">Carga en el portal de trámites del INPI de: denominación del signo, tipo de marca, clase o clases, listado de productos o servicios a distinguir y datos del titular.</w:t>
      </w:r>
    </w:p>
    <w:p>
      <w:pPr>
        <w:pStyle w:val="ListParagraph"/>
        <w:numPr>
          <w:ilvl w:val="0"/>
          <w:numId w:val="1"/>
        </w:numPr>
        <w:spacing w:after="90" w:line="290"/>
        <w:jc w:val="both"/>
      </w:pPr>
      <w:r>
        <w:rPr>
          <w:rFonts w:ascii="Calibri" w:cs="Calibri" w:eastAsia="Calibri" w:hAnsi="Calibri"/>
          <w:sz w:val="22"/>
          <w:szCs w:val="22"/>
        </w:rPr>
        <w:t xml:space="preserve">Archivo de imagen del logotipo, en caso de marca figurativa o mixta.</w:t>
      </w:r>
    </w:p>
    <w:p>
      <w:pPr>
        <w:spacing w:after="130" w:line="300"/>
        <w:jc w:val="both"/>
      </w:pPr>
      <w:r>
        <w:rPr>
          <w:rFonts w:ascii="Calibri" w:cs="Calibri" w:eastAsia="Calibri" w:hAnsi="Calibri"/>
          <w:i w:val="false"/>
          <w:iCs w:val="false"/>
          <w:color w:val="1A1A16"/>
          <w:sz w:val="22"/>
          <w:szCs w:val="22"/>
        </w:rPr>
        <w:t xml:space="preserve">Completada la carga, el sistema emite una boleta de pago abonable por medios electrónicos o presenciales.</w:t>
      </w:r>
    </w:p>
    <w:p>
      <w:pPr>
        <w:pStyle w:val="Heading2"/>
        <w:spacing w:after="100" w:before="260"/>
      </w:pPr>
      <w:r>
        <w:rPr>
          <w:rFonts w:ascii="Calibri" w:cs="Calibri" w:eastAsia="Calibri" w:hAnsi="Calibri"/>
          <w:b/>
          <w:bCs/>
          <w:color w:val="3D4A28"/>
          <w:sz w:val="24"/>
          <w:szCs w:val="24"/>
        </w:rPr>
        <w:t xml:space="preserve">3.6. Aranceles</w:t>
      </w:r>
    </w:p>
    <w:p>
      <w:pPr>
        <w:spacing w:after="130" w:line="300"/>
        <w:jc w:val="both"/>
      </w:pPr>
      <w:r>
        <w:rPr>
          <w:rFonts w:ascii="Calibri" w:cs="Calibri" w:eastAsia="Calibri" w:hAnsi="Calibri"/>
          <w:i w:val="false"/>
          <w:iCs w:val="false"/>
          <w:color w:val="1A1A16"/>
          <w:sz w:val="22"/>
          <w:szCs w:val="22"/>
        </w:rPr>
        <w:t xml:space="preserve">Desde abril de 2026 los aranceles del INPI se expresan en UMAPI. El valor inicial de la unidad se fijó como la centésima parte del arancel de una solicitud de marca nueva en una clase con hasta veinte indicaciones de productos o servicios, y desde mayo de 2026 se actualiza mensualmente conforme al IPC del INDEC.</w:t>
      </w:r>
    </w:p>
    <w:p>
      <w:pPr>
        <w:spacing w:after="60"/>
      </w:pPr>
    </w:p>
    <w:tbl>
      <w:tblPr>
        <w:tblW w:type="dxa" w:w="9000"/>
        <w:tblBorders>
          <w:top w:val="single" w:color="C9C2A8" w:sz="4"/>
          <w:left w:val="single" w:color="C9C2A8" w:sz="4"/>
          <w:bottom w:val="single" w:color="C9C2A8" w:sz="4"/>
          <w:right w:val="single" w:color="C9C2A8" w:sz="4"/>
          <w:insideH w:val="single" w:color="C9C2A8" w:sz="4"/>
          <w:insideV w:val="single" w:color="C9C2A8" w:sz="4"/>
        </w:tblBorders>
      </w:tblPr>
      <w:tblGrid>
        <w:gridCol w:w="4200"/>
        <w:gridCol w:w="2400"/>
        <w:gridCol w:w="2400"/>
      </w:tblGrid>
      <w:tr>
        <w:trPr>
          <w:tblHeader/>
        </w:trPr>
        <w:tc>
          <w:tcPr>
            <w:tcW w:type="dxa" w:w="42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Concepto</w:t>
            </w:r>
          </w:p>
        </w:tc>
        <w:tc>
          <w:tcPr>
            <w:tcW w:type="dxa" w:w="2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Valor</w:t>
            </w:r>
          </w:p>
        </w:tc>
        <w:tc>
          <w:tcPr>
            <w:tcW w:type="dxa" w:w="2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Observación</w:t>
            </w:r>
          </w:p>
        </w:tc>
      </w:tr>
      <w:tr>
        <w:tc>
          <w:tcPr>
            <w:tcW w:type="dxa" w:w="4200"/>
            <w:tcMar>
              <w:top w:type="dxa" w:w="90"/>
              <w:left w:type="dxa" w:w="130"/>
              <w:bottom w:type="dxa" w:w="90"/>
              <w:right w:type="dxa" w:w="130"/>
            </w:tcMar>
          </w:tcPr>
          <w:p>
            <w:pPr>
              <w:jc w:val="left"/>
            </w:pPr>
            <w:r>
              <w:rPr>
                <w:rFonts w:ascii="Calibri" w:cs="Calibri" w:eastAsia="Calibri" w:hAnsi="Calibri"/>
                <w:b/>
                <w:bCs/>
                <w:color w:val="1A1A16"/>
                <w:sz w:val="20"/>
                <w:szCs w:val="20"/>
              </w:rPr>
              <w:t xml:space="preserve">Solicitud de marca nueva, una clase, hasta 20 indicaciones</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100 UMAPI</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Por clase solicitada.</w:t>
            </w:r>
          </w:p>
        </w:tc>
      </w:tr>
      <w:tr>
        <w:tc>
          <w:tcPr>
            <w:tcW w:type="dxa" w:w="42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Valor de referencia de 1 UMAPI (septiembre de 2026)</w:t>
            </w:r>
          </w:p>
        </w:tc>
        <w:tc>
          <w:tcPr>
            <w:tcW w:type="dxa" w:w="2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$405,69</w:t>
            </w:r>
          </w:p>
        </w:tc>
        <w:tc>
          <w:tcPr>
            <w:tcW w:type="dxa" w:w="2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Se actualiza todos los meses.</w:t>
            </w:r>
          </w:p>
        </w:tc>
      </w:tr>
      <w:tr>
        <w:tc>
          <w:tcPr>
            <w:tcW w:type="dxa" w:w="4200"/>
            <w:tcMar>
              <w:top w:type="dxa" w:w="90"/>
              <w:left w:type="dxa" w:w="130"/>
              <w:bottom w:type="dxa" w:w="90"/>
              <w:right w:type="dxa" w:w="130"/>
            </w:tcMar>
          </w:tcPr>
          <w:p>
            <w:pPr>
              <w:jc w:val="left"/>
            </w:pPr>
            <w:r>
              <w:rPr>
                <w:rFonts w:ascii="Calibri" w:cs="Calibri" w:eastAsia="Calibri" w:hAnsi="Calibri"/>
                <w:b/>
                <w:bCs/>
                <w:color w:val="1A1A16"/>
                <w:sz w:val="20"/>
                <w:szCs w:val="20"/>
              </w:rPr>
              <w:t xml:space="preserve">Costo estimado del arancel por clase</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$40.569 + IVA</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Valor de referencia, no reembolsable.</w:t>
            </w:r>
          </w:p>
        </w:tc>
      </w:tr>
      <w:tr>
        <w:tc>
          <w:tcPr>
            <w:tcW w:type="dxa" w:w="42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Renovación decenal</w:t>
            </w:r>
          </w:p>
        </w:tc>
        <w:tc>
          <w:tcPr>
            <w:tcW w:type="dxa" w:w="2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1 UMAPI por clase</w:t>
            </w:r>
          </w:p>
        </w:tc>
        <w:tc>
          <w:tcPr>
            <w:tcW w:type="dxa" w:w="2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Cada diez años.</w:t>
            </w:r>
          </w:p>
        </w:tc>
      </w:tr>
      <w:tr>
        <w:tc>
          <w:tcPr>
            <w:tcW w:type="dxa" w:w="4200"/>
            <w:tcMar>
              <w:top w:type="dxa" w:w="90"/>
              <w:left w:type="dxa" w:w="130"/>
              <w:bottom w:type="dxa" w:w="90"/>
              <w:right w:type="dxa" w:w="130"/>
            </w:tcMar>
          </w:tcPr>
          <w:p>
            <w:pPr>
              <w:jc w:val="left"/>
            </w:pPr>
            <w:r>
              <w:rPr>
                <w:rFonts w:ascii="Calibri" w:cs="Calibri" w:eastAsia="Calibri" w:hAnsi="Calibri"/>
                <w:b/>
                <w:bCs/>
                <w:color w:val="1A1A16"/>
                <w:sz w:val="20"/>
                <w:szCs w:val="20"/>
              </w:rPr>
              <w:t xml:space="preserve">Búsqueda de antecedentes en el portal del INPI</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Sin arancel</w:t>
            </w:r>
          </w:p>
        </w:tc>
        <w:tc>
          <w:tcPr>
            <w:tcW w:type="dxa" w:w="2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Honorarios aparte si interviene un agente.</w:t>
            </w:r>
          </w:p>
        </w:tc>
      </w:tr>
    </w:tbl>
    <w:p>
      <w:pPr>
        <w:spacing w:after="140"/>
      </w:pPr>
    </w:p>
    <w:p>
      <w:pPr>
        <w:spacing w:after="130" w:line="300"/>
        <w:jc w:val="both"/>
      </w:pPr>
      <w:r>
        <w:rPr>
          <w:rFonts w:ascii="Calibri" w:cs="Calibri" w:eastAsia="Calibri" w:hAnsi="Calibri"/>
          <w:i w:val="false"/>
          <w:iCs w:val="false"/>
          <w:color w:val="1A1A16"/>
          <w:sz w:val="22"/>
          <w:szCs w:val="22"/>
        </w:rPr>
        <w:t xml:space="preserve">Dado que la UMAPI se ajusta mensualmente, el valor vigente debe verificarse en el portal de trámites del INPI inmediatamente antes de presentar la solicitud. Postergar la presentación implica, en la práctica, un arancel mayor.</w:t>
      </w:r>
    </w:p>
    <w:p>
      <w:pPr>
        <w:pStyle w:val="Heading2"/>
        <w:spacing w:after="100" w:before="260"/>
      </w:pPr>
      <w:r>
        <w:rPr>
          <w:rFonts w:ascii="Calibri" w:cs="Calibri" w:eastAsia="Calibri" w:hAnsi="Calibri"/>
          <w:b/>
          <w:bCs/>
          <w:color w:val="3D4A28"/>
          <w:sz w:val="24"/>
          <w:szCs w:val="24"/>
        </w:rPr>
        <w:t xml:space="preserve">3.7. Examen, publicación y oposiciones</w:t>
      </w:r>
    </w:p>
    <w:p>
      <w:pPr>
        <w:spacing w:after="130" w:line="300"/>
        <w:jc w:val="both"/>
      </w:pPr>
      <w:r>
        <w:rPr>
          <w:rFonts w:ascii="Calibri" w:cs="Calibri" w:eastAsia="Calibri" w:hAnsi="Calibri"/>
          <w:i w:val="false"/>
          <w:iCs w:val="false"/>
          <w:color w:val="1A1A16"/>
          <w:sz w:val="22"/>
          <w:szCs w:val="22"/>
        </w:rPr>
        <w:t xml:space="preserve">Con la reforma procedimental vigente desde marzo de 2026, el control inicial del INPI se concentra en los requisitos formales y en las prohibiciones absolutas, lo que acelera la publicación. La solicitud se publica y se abre un plazo de treinta días corridos durante el cual cualquier tercero con interés legítimo puede deducir oposición. Si no se presentan oposiciones, el registro se concede. Cuando existe oposición se abre una instancia de negociación entre las partes, que puede resolverse por acuerdo de coexistencia, por retiro de la oposición o, en última instancia, por vía judicial.</w:t>
      </w:r>
    </w:p>
    <w:p>
      <w:pPr>
        <w:spacing w:after="130" w:line="300"/>
        <w:jc w:val="both"/>
      </w:pPr>
      <w:r>
        <w:rPr>
          <w:rFonts w:ascii="Calibri" w:cs="Calibri" w:eastAsia="Calibri" w:hAnsi="Calibri"/>
          <w:i w:val="false"/>
          <w:iCs w:val="false"/>
          <w:color w:val="1A1A16"/>
          <w:sz w:val="22"/>
          <w:szCs w:val="22"/>
        </w:rPr>
        <w:t xml:space="preserve">En ausencia de oposiciones, el trámite puede resolverse en aproximadamente dos meses.</w:t>
      </w:r>
    </w:p>
    <w:p>
      <w:pPr>
        <w:pStyle w:val="Heading2"/>
        <w:spacing w:after="100" w:before="260"/>
      </w:pPr>
      <w:r>
        <w:rPr>
          <w:rFonts w:ascii="Calibri" w:cs="Calibri" w:eastAsia="Calibri" w:hAnsi="Calibri"/>
          <w:b/>
          <w:bCs/>
          <w:color w:val="3D4A28"/>
          <w:sz w:val="24"/>
          <w:szCs w:val="24"/>
        </w:rPr>
        <w:t xml:space="preserve">3.8. Concesión, vigencia y renovación</w:t>
      </w:r>
    </w:p>
    <w:p>
      <w:pPr>
        <w:spacing w:after="130" w:line="300"/>
        <w:jc w:val="both"/>
      </w:pPr>
      <w:r>
        <w:rPr>
          <w:rFonts w:ascii="Calibri" w:cs="Calibri" w:eastAsia="Calibri" w:hAnsi="Calibri"/>
          <w:i w:val="false"/>
          <w:iCs w:val="false"/>
          <w:color w:val="1A1A16"/>
          <w:sz w:val="22"/>
          <w:szCs w:val="22"/>
        </w:rPr>
        <w:t xml:space="preserve">La marca concedida otorga el derecho exclusivo de uso en todo el territorio nacional por diez años, renovable indefinidamente por períodos iguales, siempre que se acredite el uso del signo.</w:t>
      </w:r>
    </w:p>
    <w:p>
      <w:pPr>
        <w:pStyle w:val="Heading2"/>
        <w:spacing w:after="100" w:before="260"/>
      </w:pPr>
      <w:r>
        <w:rPr>
          <w:rFonts w:ascii="Calibri" w:cs="Calibri" w:eastAsia="Calibri" w:hAnsi="Calibri"/>
          <w:b/>
          <w:bCs/>
          <w:color w:val="3D4A28"/>
          <w:sz w:val="24"/>
          <w:szCs w:val="24"/>
        </w:rPr>
        <w:t xml:space="preserve">3.9. Declaración jurada de uso</w:t>
      </w:r>
    </w:p>
    <w:p>
      <w:pPr>
        <w:spacing w:after="130" w:line="300"/>
        <w:jc w:val="both"/>
      </w:pPr>
      <w:r>
        <w:rPr>
          <w:rFonts w:ascii="Calibri" w:cs="Calibri" w:eastAsia="Calibri" w:hAnsi="Calibri"/>
          <w:i w:val="false"/>
          <w:iCs w:val="false"/>
          <w:color w:val="1A1A16"/>
          <w:sz w:val="22"/>
          <w:szCs w:val="22"/>
        </w:rPr>
        <w:t xml:space="preserve">El artículo 26 de la Ley 22.362 impone al titular la obligación de declarar ante el INPI, entre el quinto y el sexto año contados desde la concesión, que la marca se encuentra efectivamente en uso. La omisión de esta declaración puede acarrear la pérdida del registro. Es una obligación con arancel propio y frecuentemente omitida, por lo que corresponde incorporarla al calendario de obligaciones de la startup desde el momento mismo de la concesión.</w:t>
      </w:r>
    </w:p>
    <w:p>
      <w:pPr>
        <w:pStyle w:val="Heading1"/>
        <w:pBdr>
          <w:bottom w:val="single" w:color="3D4A28" w:sz="8" w:space="6"/>
        </w:pBdr>
        <w:spacing w:after="160" w:before="360"/>
      </w:pPr>
      <w:r>
        <w:rPr>
          <w:rFonts w:ascii="Calibri" w:cs="Calibri" w:eastAsia="Calibri" w:hAnsi="Calibri"/>
          <w:b/>
          <w:bCs/>
          <w:color w:val="3D4A28"/>
          <w:sz w:val="30"/>
          <w:szCs w:val="30"/>
        </w:rPr>
        <w:t xml:space="preserve">4. Simulación de verificación de disponibilidad del signo «Woodbird»</w:t>
      </w:r>
    </w:p>
    <w:p>
      <w:pPr>
        <w:pStyle w:val="Heading2"/>
        <w:spacing w:after="100" w:before="260"/>
      </w:pPr>
      <w:r>
        <w:rPr>
          <w:rFonts w:ascii="Calibri" w:cs="Calibri" w:eastAsia="Calibri" w:hAnsi="Calibri"/>
          <w:b/>
          <w:bCs/>
          <w:color w:val="3D4A28"/>
          <w:sz w:val="24"/>
          <w:szCs w:val="24"/>
        </w:rPr>
        <w:t xml:space="preserve">4.1. Metodología de la simulación</w:t>
      </w:r>
    </w:p>
    <w:p>
      <w:pPr>
        <w:spacing w:after="130" w:line="300"/>
        <w:jc w:val="both"/>
      </w:pPr>
      <w:r>
        <w:rPr>
          <w:rFonts w:ascii="Calibri" w:cs="Calibri" w:eastAsia="Calibri" w:hAnsi="Calibri"/>
          <w:i w:val="false"/>
          <w:iCs w:val="false"/>
          <w:color w:val="1A1A16"/>
          <w:sz w:val="22"/>
          <w:szCs w:val="22"/>
        </w:rPr>
        <w:t xml:space="preserve">Se replicó el procedimiento de búsqueda de antecedentes que corresponde ejecutar en la base de datos de marcas del INPI, sobre los siguientes criterios:</w:t>
      </w:r>
    </w:p>
    <w:p>
      <w:pPr>
        <w:pStyle w:val="ListParagraph"/>
        <w:numPr>
          <w:ilvl w:val="0"/>
          <w:numId w:val="1"/>
        </w:numPr>
        <w:spacing w:after="90" w:line="290"/>
        <w:jc w:val="both"/>
      </w:pPr>
      <w:r>
        <w:rPr>
          <w:rFonts w:ascii="Calibri" w:cs="Calibri" w:eastAsia="Calibri" w:hAnsi="Calibri"/>
          <w:sz w:val="22"/>
          <w:szCs w:val="22"/>
        </w:rPr>
        <w:t xml:space="preserve">Búsqueda literal del término «Woodbird» en las clases 20 y 35.</w:t>
      </w:r>
    </w:p>
    <w:p>
      <w:pPr>
        <w:pStyle w:val="ListParagraph"/>
        <w:numPr>
          <w:ilvl w:val="0"/>
          <w:numId w:val="1"/>
        </w:numPr>
        <w:spacing w:after="90" w:line="290"/>
        <w:jc w:val="both"/>
      </w:pPr>
      <w:r>
        <w:rPr>
          <w:rFonts w:ascii="Calibri" w:cs="Calibri" w:eastAsia="Calibri" w:hAnsi="Calibri"/>
          <w:sz w:val="22"/>
          <w:szCs w:val="22"/>
        </w:rPr>
        <w:t xml:space="preserve">Búsqueda fonética y de similitud ortográfica, incluyendo las variantes «Wood Bird», «Woodberd», «Wudbird» y «Woodbirds».</w:t>
      </w:r>
    </w:p>
    <w:p>
      <w:pPr>
        <w:pStyle w:val="ListParagraph"/>
        <w:numPr>
          <w:ilvl w:val="0"/>
          <w:numId w:val="1"/>
        </w:numPr>
        <w:spacing w:after="90" w:line="290"/>
        <w:jc w:val="both"/>
      </w:pPr>
      <w:r>
        <w:rPr>
          <w:rFonts w:ascii="Calibri" w:cs="Calibri" w:eastAsia="Calibri" w:hAnsi="Calibri"/>
          <w:sz w:val="22"/>
          <w:szCs w:val="22"/>
        </w:rPr>
        <w:t xml:space="preserve">Búsqueda de los componentes «Wood» y «Bird» en forma aislada dentro de las mismas clases.</w:t>
      </w:r>
    </w:p>
    <w:p>
      <w:pPr>
        <w:pStyle w:val="ListParagraph"/>
        <w:numPr>
          <w:ilvl w:val="0"/>
          <w:numId w:val="1"/>
        </w:numPr>
        <w:spacing w:after="90" w:line="290"/>
        <w:jc w:val="both"/>
      </w:pPr>
      <w:r>
        <w:rPr>
          <w:rFonts w:ascii="Calibri" w:cs="Calibri" w:eastAsia="Calibri" w:hAnsi="Calibri"/>
          <w:sz w:val="22"/>
          <w:szCs w:val="22"/>
        </w:rPr>
        <w:t xml:space="preserve">Verificación de disponibilidad del nombre de dominio en el buscador de NIC Argentina.</w:t>
      </w:r>
    </w:p>
    <w:p>
      <w:pPr>
        <w:pStyle w:val="ListParagraph"/>
        <w:numPr>
          <w:ilvl w:val="0"/>
          <w:numId w:val="1"/>
        </w:numPr>
        <w:spacing w:after="90" w:line="290"/>
        <w:jc w:val="both"/>
      </w:pPr>
      <w:r>
        <w:rPr>
          <w:rFonts w:ascii="Calibri" w:cs="Calibri" w:eastAsia="Calibri" w:hAnsi="Calibri"/>
          <w:sz w:val="22"/>
          <w:szCs w:val="22"/>
        </w:rPr>
        <w:t xml:space="preserve">Verificación de disponibilidad del nombre de usuario en Instagram y Facebook, por ser los canales previstos en el modelo de negocio.</w:t>
      </w:r>
    </w:p>
    <w:p>
      <w:pPr>
        <w:pStyle w:val="Heading2"/>
        <w:spacing w:after="100" w:before="260"/>
      </w:pPr>
      <w:r>
        <w:rPr>
          <w:rFonts w:ascii="Calibri" w:cs="Calibri" w:eastAsia="Calibri" w:hAnsi="Calibri"/>
          <w:b/>
          <w:bCs/>
          <w:color w:val="3D4A28"/>
          <w:sz w:val="24"/>
          <w:szCs w:val="24"/>
        </w:rPr>
        <w:t xml:space="preserve">4.2. Resultado de la simulación</w:t>
      </w:r>
    </w:p>
    <w:p>
      <w:pPr>
        <w:spacing w:after="60"/>
      </w:pPr>
    </w:p>
    <w:tbl>
      <w:tblPr>
        <w:tblW w:type="dxa" w:w="9000"/>
        <w:tblBorders>
          <w:top w:val="single" w:color="C9C2A8" w:sz="4"/>
          <w:left w:val="single" w:color="C9C2A8" w:sz="4"/>
          <w:bottom w:val="single" w:color="C9C2A8" w:sz="4"/>
          <w:right w:val="single" w:color="C9C2A8" w:sz="4"/>
          <w:insideH w:val="single" w:color="C9C2A8" w:sz="4"/>
          <w:insideV w:val="single" w:color="C9C2A8" w:sz="4"/>
        </w:tblBorders>
      </w:tblPr>
      <w:tblGrid>
        <w:gridCol w:w="3400"/>
        <w:gridCol w:w="2200"/>
        <w:gridCol w:w="3400"/>
      </w:tblGrid>
      <w:tr>
        <w:trPr>
          <w:tblHeader/>
        </w:trPr>
        <w:tc>
          <w:tcPr>
            <w:tcW w:type="dxa" w:w="3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Verificación</w:t>
            </w:r>
          </w:p>
        </w:tc>
        <w:tc>
          <w:tcPr>
            <w:tcW w:type="dxa" w:w="22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Resultado simulado</w:t>
            </w:r>
          </w:p>
        </w:tc>
        <w:tc>
          <w:tcPr>
            <w:tcW w:type="dxa" w:w="3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Consecuencia</w:t>
            </w:r>
          </w:p>
        </w:tc>
      </w:tr>
      <w:tr>
        <w:tc>
          <w:tcPr>
            <w:tcW w:type="dxa" w:w="3400"/>
            <w:tcMar>
              <w:top w:type="dxa" w:w="90"/>
              <w:left w:type="dxa" w:w="130"/>
              <w:bottom w:type="dxa" w:w="90"/>
              <w:right w:type="dxa" w:w="130"/>
            </w:tcMar>
          </w:tcPr>
          <w:p>
            <w:pPr>
              <w:jc w:val="left"/>
            </w:pPr>
            <w:r>
              <w:rPr>
                <w:rFonts w:ascii="Calibri" w:cs="Calibri" w:eastAsia="Calibri" w:hAnsi="Calibri"/>
                <w:b/>
                <w:bCs/>
                <w:color w:val="1A1A16"/>
                <w:sz w:val="20"/>
                <w:szCs w:val="20"/>
              </w:rPr>
              <w:t xml:space="preserve">«Woodbird» — clase 20 (INPI)</w:t>
            </w:r>
          </w:p>
        </w:tc>
        <w:tc>
          <w:tcPr>
            <w:tcW w:type="dxa" w:w="22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Sin antecedentes idénticos</w:t>
            </w:r>
          </w:p>
        </w:tc>
        <w:tc>
          <w:tcPr>
            <w:tcW w:type="dxa" w:w="3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La vía queda habilitada para presentar la solicitud.</w:t>
            </w:r>
          </w:p>
        </w:tc>
      </w:tr>
      <w:tr>
        <w:tc>
          <w:tcPr>
            <w:tcW w:type="dxa" w:w="34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«Woodbird» — clase 35 (INPI)</w:t>
            </w:r>
          </w:p>
        </w:tc>
        <w:tc>
          <w:tcPr>
            <w:tcW w:type="dxa" w:w="22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Sin antecedentes idénticos</w:t>
            </w:r>
          </w:p>
        </w:tc>
        <w:tc>
          <w:tcPr>
            <w:tcW w:type="dxa" w:w="3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Se difiere a una segunda etapa.</w:t>
            </w:r>
          </w:p>
        </w:tc>
      </w:tr>
      <w:tr>
        <w:tc>
          <w:tcPr>
            <w:tcW w:type="dxa" w:w="3400"/>
            <w:tcMar>
              <w:top w:type="dxa" w:w="90"/>
              <w:left w:type="dxa" w:w="130"/>
              <w:bottom w:type="dxa" w:w="90"/>
              <w:right w:type="dxa" w:w="130"/>
            </w:tcMar>
          </w:tcPr>
          <w:p>
            <w:pPr>
              <w:jc w:val="left"/>
            </w:pPr>
            <w:r>
              <w:rPr>
                <w:rFonts w:ascii="Calibri" w:cs="Calibri" w:eastAsia="Calibri" w:hAnsi="Calibri"/>
                <w:b/>
                <w:bCs/>
                <w:color w:val="1A1A16"/>
                <w:sz w:val="20"/>
                <w:szCs w:val="20"/>
              </w:rPr>
              <w:t xml:space="preserve">Variantes fonéticas en clase 20</w:t>
            </w:r>
          </w:p>
        </w:tc>
        <w:tc>
          <w:tcPr>
            <w:tcW w:type="dxa" w:w="22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Sin coincidencias relevantes</w:t>
            </w:r>
          </w:p>
        </w:tc>
        <w:tc>
          <w:tcPr>
            <w:tcW w:type="dxa" w:w="3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Riesgo bajo de oposición por confundibilidad.</w:t>
            </w:r>
          </w:p>
        </w:tc>
      </w:tr>
      <w:tr>
        <w:tc>
          <w:tcPr>
            <w:tcW w:type="dxa" w:w="34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woodbird.com.ar (NIC Argentina)</w:t>
            </w:r>
          </w:p>
        </w:tc>
        <w:tc>
          <w:tcPr>
            <w:tcW w:type="dxa" w:w="22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Disponible</w:t>
            </w:r>
          </w:p>
        </w:tc>
        <w:tc>
          <w:tcPr>
            <w:tcW w:type="dxa" w:w="3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Zona seleccionada para el registro.</w:t>
            </w:r>
          </w:p>
        </w:tc>
      </w:tr>
      <w:tr>
        <w:tc>
          <w:tcPr>
            <w:tcW w:type="dxa" w:w="3400"/>
            <w:tcMar>
              <w:top w:type="dxa" w:w="90"/>
              <w:left w:type="dxa" w:w="130"/>
              <w:bottom w:type="dxa" w:w="90"/>
              <w:right w:type="dxa" w:w="130"/>
            </w:tcMar>
          </w:tcPr>
          <w:p>
            <w:pPr>
              <w:jc w:val="left"/>
            </w:pPr>
            <w:r>
              <w:rPr>
                <w:rFonts w:ascii="Calibri" w:cs="Calibri" w:eastAsia="Calibri" w:hAnsi="Calibri"/>
                <w:b/>
                <w:bCs/>
                <w:color w:val="1A1A16"/>
                <w:sz w:val="20"/>
                <w:szCs w:val="20"/>
              </w:rPr>
              <w:t xml:space="preserve">woodbird.ar (NIC Argentina)</w:t>
            </w:r>
          </w:p>
        </w:tc>
        <w:tc>
          <w:tcPr>
            <w:tcW w:type="dxa" w:w="22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Disponible</w:t>
            </w:r>
          </w:p>
        </w:tc>
        <w:tc>
          <w:tcPr>
            <w:tcW w:type="dxa" w:w="3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Registro defensivo diferido por costo.</w:t>
            </w:r>
          </w:p>
        </w:tc>
      </w:tr>
      <w:tr>
        <w:tc>
          <w:tcPr>
            <w:tcW w:type="dxa" w:w="34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@woodbird (Instagram / Facebook)</w:t>
            </w:r>
          </w:p>
        </w:tc>
        <w:tc>
          <w:tcPr>
            <w:tcW w:type="dxa" w:w="22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Disponible</w:t>
            </w:r>
          </w:p>
        </w:tc>
        <w:tc>
          <w:tcPr>
            <w:tcW w:type="dxa" w:w="3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Se reserva de inmediato, sin costo.</w:t>
            </w:r>
          </w:p>
        </w:tc>
      </w:tr>
    </w:tbl>
    <w:p>
      <w:pPr>
        <w:spacing w:after="140"/>
      </w:pPr>
    </w:p>
    <w:p>
      <w:pPr>
        <w:spacing w:after="130" w:line="300"/>
        <w:jc w:val="both"/>
      </w:pPr>
      <w:r>
        <w:rPr>
          <w:rFonts w:ascii="Calibri" w:cs="Calibri" w:eastAsia="Calibri" w:hAnsi="Calibri"/>
          <w:i w:val="false"/>
          <w:iCs w:val="false"/>
          <w:color w:val="1A1A16"/>
          <w:sz w:val="22"/>
          <w:szCs w:val="22"/>
        </w:rPr>
        <w:t xml:space="preserve">La disponibilidad del nombre en internet no acredita por sí sola que la solicitud ante el INPI vaya a prosperar, del mismo modo que una marca en trámite no reserva automáticamente los identificadores digitales. Son dos verificaciones independientes que deben realizarse en paralelo.</w:t>
      </w:r>
    </w:p>
    <w:p>
      <w:pPr>
        <w:pStyle w:val="Heading2"/>
        <w:spacing w:after="100" w:before="260"/>
      </w:pPr>
      <w:r>
        <w:rPr>
          <w:rFonts w:ascii="Calibri" w:cs="Calibri" w:eastAsia="Calibri" w:hAnsi="Calibri"/>
          <w:b/>
          <w:bCs/>
          <w:color w:val="3D4A28"/>
          <w:sz w:val="24"/>
          <w:szCs w:val="24"/>
        </w:rPr>
        <w:t xml:space="preserve">4.3. Análisis de riesgo: la distintividad del signo</w:t>
      </w:r>
    </w:p>
    <w:p>
      <w:pPr>
        <w:spacing w:after="130" w:line="300"/>
        <w:jc w:val="both"/>
      </w:pPr>
      <w:r>
        <w:rPr>
          <w:rFonts w:ascii="Calibri" w:cs="Calibri" w:eastAsia="Calibri" w:hAnsi="Calibri"/>
          <w:i w:val="false"/>
          <w:iCs w:val="false"/>
          <w:color w:val="1A1A16"/>
          <w:sz w:val="22"/>
          <w:szCs w:val="22"/>
        </w:rPr>
        <w:t xml:space="preserve">El obstáculo principal que enfrenta «Woodbird» no es la existencia de antecedentes, sino su propia aptitud marcaria. El artículo 2 de la Ley 22.362 excluye de la protección los signos que constituyen la designación necesaria o habitual del producto y los que son descriptivos de su naturaleza, función o características.</w:t>
      </w:r>
    </w:p>
    <w:p>
      <w:pPr>
        <w:spacing w:after="130" w:line="300"/>
        <w:jc w:val="both"/>
      </w:pPr>
      <w:r>
        <w:rPr>
          <w:rFonts w:ascii="Calibri" w:cs="Calibri" w:eastAsia="Calibri" w:hAnsi="Calibri"/>
          <w:i w:val="false"/>
          <w:iCs w:val="false"/>
          <w:color w:val="1A1A16"/>
          <w:sz w:val="22"/>
          <w:szCs w:val="22"/>
        </w:rPr>
        <w:t xml:space="preserve">«Woodbird» se compone de dos vocablos ingleses de uso corriente que, traducidos, significan literalmente «ave de madera»: exactamente el producto que se comercializa. Aun cuando la jurisprudencia argentina ha admitido el registro de términos extranjeros cuando no son comprendidos por el consumidor medio local, «wood» y «bird» pertenecen al vocabulario inglés más elemental y su significado resulta razonablemente accesible al público destinatario. El signo se ubica, en consecuencia, en la zona de riesgo entre lo evocativo y lo descriptivo.</w:t>
      </w:r>
    </w:p>
    <w:p>
      <w:pPr>
        <w:spacing w:after="130" w:line="300"/>
        <w:jc w:val="both"/>
      </w:pPr>
      <w:r>
        <w:rPr>
          <w:rFonts w:ascii="Calibri" w:cs="Calibri" w:eastAsia="Calibri" w:hAnsi="Calibri"/>
          <w:i w:val="false"/>
          <w:iCs w:val="false"/>
          <w:color w:val="1A1A16"/>
          <w:sz w:val="22"/>
          <w:szCs w:val="22"/>
        </w:rPr>
        <w:t xml:space="preserve">Existen dos elementos que atenúan ese riesgo. El primero es que se trata de un neologismo por fusión: la unión de ambos vocablos en una sola palabra sin espacio genera un término que no existe en el idioma inglés y que, como conjunto, no constituye la designación habitual del producto. El segundo es que la marca puede reforzarse con elementos gráficos.</w:t>
      </w:r>
    </w:p>
    <w:p>
      <w:pPr>
        <w:pStyle w:val="Heading2"/>
        <w:spacing w:after="100" w:before="260"/>
      </w:pPr>
      <w:r>
        <w:rPr>
          <w:rFonts w:ascii="Calibri" w:cs="Calibri" w:eastAsia="Calibri" w:hAnsi="Calibri"/>
          <w:b/>
          <w:bCs/>
          <w:color w:val="3D4A28"/>
          <w:sz w:val="24"/>
          <w:szCs w:val="24"/>
        </w:rPr>
        <w:t xml:space="preserve">4.4. Recomendación</w:t>
      </w:r>
    </w:p>
    <w:p>
      <w:pPr>
        <w:pStyle w:val="ListParagraph"/>
        <w:numPr>
          <w:ilvl w:val="0"/>
          <w:numId w:val="1"/>
        </w:numPr>
        <w:spacing w:after="90" w:line="290"/>
        <w:jc w:val="both"/>
      </w:pPr>
      <w:r>
        <w:rPr>
          <w:rFonts w:ascii="Calibri" w:cs="Calibri" w:eastAsia="Calibri" w:hAnsi="Calibri"/>
          <w:b/>
          <w:bCs/>
          <w:sz w:val="22"/>
          <w:szCs w:val="22"/>
        </w:rPr>
        <w:t xml:space="preserve">Tipo de marca: </w:t>
      </w:r>
      <w:r>
        <w:rPr>
          <w:rFonts w:ascii="Calibri" w:cs="Calibri" w:eastAsia="Calibri" w:hAnsi="Calibri"/>
          <w:sz w:val="22"/>
          <w:szCs w:val="22"/>
        </w:rPr>
        <w:t xml:space="preserve">presentar «Woodbird» como marca mixta, combinando el elemento denominativo con un logotipo de diseño propio. El componente figurativo aporta la distintividad que el elemento verbal no garantiza por sí solo y reduce el riesgo de observación de fondo.</w:t>
      </w:r>
    </w:p>
    <w:p>
      <w:pPr>
        <w:pStyle w:val="ListParagraph"/>
        <w:numPr>
          <w:ilvl w:val="0"/>
          <w:numId w:val="1"/>
        </w:numPr>
        <w:spacing w:after="90" w:line="290"/>
        <w:jc w:val="both"/>
      </w:pPr>
      <w:r>
        <w:rPr>
          <w:rFonts w:ascii="Calibri" w:cs="Calibri" w:eastAsia="Calibri" w:hAnsi="Calibri"/>
          <w:b/>
          <w:bCs/>
          <w:sz w:val="22"/>
          <w:szCs w:val="22"/>
        </w:rPr>
        <w:t xml:space="preserve">Alcance esperable: </w:t>
      </w:r>
      <w:r>
        <w:rPr>
          <w:rFonts w:ascii="Calibri" w:cs="Calibri" w:eastAsia="Calibri" w:hAnsi="Calibri"/>
          <w:sz w:val="22"/>
          <w:szCs w:val="22"/>
        </w:rPr>
        <w:t xml:space="preserve">aun concedida, una marca con carga descriptiva tiene un ámbito de protección más estrecho: difícilmente permita impedir que terceros empleen los términos «wood» o «bird» de manera aislada o descriptiva. Ese límite debe conocerse antes de invertir en la construcción de la marca.</w:t>
      </w:r>
    </w:p>
    <w:p>
      <w:pPr>
        <w:pStyle w:val="ListParagraph"/>
        <w:numPr>
          <w:ilvl w:val="0"/>
          <w:numId w:val="1"/>
        </w:numPr>
        <w:spacing w:after="90" w:line="290"/>
        <w:jc w:val="both"/>
      </w:pPr>
      <w:r>
        <w:rPr>
          <w:rFonts w:ascii="Calibri" w:cs="Calibri" w:eastAsia="Calibri" w:hAnsi="Calibri"/>
          <w:b/>
          <w:bCs/>
          <w:sz w:val="22"/>
          <w:szCs w:val="22"/>
        </w:rPr>
        <w:t xml:space="preserve">Cobertura territorial: </w:t>
      </w:r>
      <w:r>
        <w:rPr>
          <w:rFonts w:ascii="Calibri" w:cs="Calibri" w:eastAsia="Calibri" w:hAnsi="Calibri"/>
          <w:sz w:val="22"/>
          <w:szCs w:val="22"/>
        </w:rPr>
        <w:t xml:space="preserve">la marca opera únicamente en el territorio nacional. Si el proyecto contempla exportación, corresponde evaluar el registro en los países de destino, sea por vía nacional o mediante el Sistema de Madrid.</w:t>
      </w:r>
    </w:p>
    <w:p>
      <w:pPr>
        <w:pStyle w:val="ListParagraph"/>
        <w:numPr>
          <w:ilvl w:val="0"/>
          <w:numId w:val="1"/>
        </w:numPr>
        <w:spacing w:after="90" w:line="290"/>
        <w:jc w:val="both"/>
      </w:pPr>
      <w:r>
        <w:rPr>
          <w:rFonts w:ascii="Calibri" w:cs="Calibri" w:eastAsia="Calibri" w:hAnsi="Calibri"/>
          <w:b/>
          <w:bCs/>
          <w:sz w:val="22"/>
          <w:szCs w:val="22"/>
        </w:rPr>
        <w:t xml:space="preserve">Medida complementaria: </w:t>
      </w:r>
      <w:r>
        <w:rPr>
          <w:rFonts w:ascii="Calibri" w:cs="Calibri" w:eastAsia="Calibri" w:hAnsi="Calibri"/>
          <w:sz w:val="22"/>
          <w:szCs w:val="22"/>
        </w:rPr>
        <w:t xml:space="preserve">acompañar la presentación con un logotipo registrable propio y documentar su autoría, para evitar conflictos posteriores sobre la titularidad del elemento gráfico.</w:t>
      </w:r>
    </w:p>
    <w:p>
      <w:pPr>
        <w:pStyle w:val="Heading1"/>
        <w:pBdr>
          <w:bottom w:val="single" w:color="3D4A28" w:sz="8" w:space="6"/>
        </w:pBdr>
        <w:spacing w:after="160" w:before="360"/>
      </w:pPr>
      <w:r>
        <w:rPr>
          <w:rFonts w:ascii="Calibri" w:cs="Calibri" w:eastAsia="Calibri" w:hAnsi="Calibri"/>
          <w:b/>
          <w:bCs/>
          <w:color w:val="3D4A28"/>
          <w:sz w:val="30"/>
          <w:szCs w:val="30"/>
        </w:rPr>
        <w:t xml:space="preserve">5. Registro del nombre de dominio ante NIC Argentina</w:t>
      </w:r>
    </w:p>
    <w:p>
      <w:pPr>
        <w:pStyle w:val="Heading2"/>
        <w:spacing w:after="100" w:before="260"/>
      </w:pPr>
      <w:r>
        <w:rPr>
          <w:rFonts w:ascii="Calibri" w:cs="Calibri" w:eastAsia="Calibri" w:hAnsi="Calibri"/>
          <w:b/>
          <w:bCs/>
          <w:color w:val="3D4A28"/>
          <w:sz w:val="24"/>
          <w:szCs w:val="24"/>
        </w:rPr>
        <w:t xml:space="preserve">5.1. Zona de dominio solicitada y fundamentación</w:t>
      </w:r>
    </w:p>
    <w:p>
      <w:pPr>
        <w:spacing w:after="130" w:line="300"/>
        <w:jc w:val="both"/>
      </w:pPr>
      <w:r>
        <w:rPr>
          <w:rFonts w:ascii="Calibri" w:cs="Calibri" w:eastAsia="Calibri" w:hAnsi="Calibri"/>
          <w:b w:val="false"/>
          <w:bCs w:val="false"/>
          <w:i w:val="false"/>
          <w:iCs w:val="false"/>
          <w:color w:val="1A1A16"/>
          <w:sz w:val="22"/>
          <w:szCs w:val="22"/>
        </w:rPr>
        <w:t xml:space="preserve">Woodbird solicitará un dominio en la zona </w:t>
      </w:r>
      <w:r>
        <w:rPr>
          <w:rFonts w:ascii="Calibri" w:cs="Calibri" w:eastAsia="Calibri" w:hAnsi="Calibri"/>
          <w:b/>
          <w:bCs/>
          <w:i w:val="false"/>
          <w:iCs w:val="false"/>
          <w:color w:val="1A1A16"/>
          <w:sz w:val="22"/>
          <w:szCs w:val="22"/>
        </w:rPr>
        <w:t xml:space="preserve">.com.ar</w:t>
      </w:r>
      <w:r>
        <w:rPr>
          <w:rFonts w:ascii="Calibri" w:cs="Calibri" w:eastAsia="Calibri" w:hAnsi="Calibri"/>
          <w:b w:val="false"/>
          <w:bCs w:val="false"/>
          <w:i w:val="false"/>
          <w:iCs w:val="false"/>
          <w:color w:val="1A1A16"/>
          <w:sz w:val="22"/>
          <w:szCs w:val="22"/>
        </w:rPr>
        <w:t xml:space="preserve">. La decisión se fundamenta en tres razones concurrentes.</w:t>
      </w:r>
    </w:p>
    <w:p>
      <w:pPr>
        <w:pStyle w:val="ListParagraph"/>
        <w:numPr>
          <w:ilvl w:val="0"/>
          <w:numId w:val="1"/>
        </w:numPr>
        <w:spacing w:after="90" w:line="290"/>
        <w:jc w:val="both"/>
      </w:pPr>
      <w:r>
        <w:rPr>
          <w:rFonts w:ascii="Calibri" w:cs="Calibri" w:eastAsia="Calibri" w:hAnsi="Calibri"/>
          <w:b/>
          <w:bCs/>
          <w:sz w:val="22"/>
          <w:szCs w:val="22"/>
        </w:rPr>
        <w:t xml:space="preserve">Adecuación al objeto: </w:t>
      </w:r>
      <w:r>
        <w:rPr>
          <w:rFonts w:ascii="Calibri" w:cs="Calibri" w:eastAsia="Calibri" w:hAnsi="Calibri"/>
          <w:sz w:val="22"/>
          <w:szCs w:val="22"/>
        </w:rPr>
        <w:t xml:space="preserve">la zona .com.ar está expresamente destinada, según la propia definición de NIC Argentina, a los proyectos vinculados con la actividad comercial o profesional. Woodbird es una tienda con fines de lucro, de modo que la zona corresponde a su actividad real.</w:t>
      </w:r>
    </w:p>
    <w:p>
      <w:pPr>
        <w:pStyle w:val="ListParagraph"/>
        <w:numPr>
          <w:ilvl w:val="0"/>
          <w:numId w:val="1"/>
        </w:numPr>
        <w:spacing w:after="90" w:line="290"/>
        <w:jc w:val="both"/>
      </w:pPr>
      <w:r>
        <w:rPr>
          <w:rFonts w:ascii="Calibri" w:cs="Calibri" w:eastAsia="Calibri" w:hAnsi="Calibri"/>
          <w:b/>
          <w:bCs/>
          <w:sz w:val="22"/>
          <w:szCs w:val="22"/>
        </w:rPr>
        <w:t xml:space="preserve">Costo: </w:t>
      </w:r>
      <w:r>
        <w:rPr>
          <w:rFonts w:ascii="Calibri" w:cs="Calibri" w:eastAsia="Calibri" w:hAnsi="Calibri"/>
          <w:sz w:val="22"/>
          <w:szCs w:val="22"/>
        </w:rPr>
        <w:t xml:space="preserve">el alta y la renovación anual del .com.ar tienen un arancel de $8.500, frente a los $25.500 de la zona .ar. Para una startup en etapa de validación, la diferencia de $17.000 anuales no se justifica por el beneficio marginal de un dominio más breve.</w:t>
      </w:r>
    </w:p>
    <w:p>
      <w:pPr>
        <w:pStyle w:val="ListParagraph"/>
        <w:numPr>
          <w:ilvl w:val="0"/>
          <w:numId w:val="1"/>
        </w:numPr>
        <w:spacing w:after="90" w:line="290"/>
        <w:jc w:val="both"/>
      </w:pPr>
      <w:r>
        <w:rPr>
          <w:rFonts w:ascii="Calibri" w:cs="Calibri" w:eastAsia="Calibri" w:hAnsi="Calibri"/>
          <w:b/>
          <w:bCs/>
          <w:sz w:val="22"/>
          <w:szCs w:val="22"/>
        </w:rPr>
        <w:t xml:space="preserve">Correspondencia con el mercado: </w:t>
      </w:r>
      <w:r>
        <w:rPr>
          <w:rFonts w:ascii="Calibri" w:cs="Calibri" w:eastAsia="Calibri" w:hAnsi="Calibri"/>
          <w:sz w:val="22"/>
          <w:szCs w:val="22"/>
        </w:rPr>
        <w:t xml:space="preserve">el mercado objetivo definido en el modelo de negocio es local. El sufijo .com.ar identifica de manera inmediata a la tienda como argentina, refuerza la confianza en una operación de comercio electrónico con pago en línea y favorece el posicionamiento en búsquedas nacionales.</w:t>
      </w:r>
    </w:p>
    <w:p>
      <w:pPr>
        <w:pStyle w:val="ListParagraph"/>
        <w:numPr>
          <w:ilvl w:val="0"/>
          <w:numId w:val="1"/>
        </w:numPr>
        <w:spacing w:after="90" w:line="290"/>
        <w:jc w:val="both"/>
      </w:pPr>
      <w:r>
        <w:rPr>
          <w:rFonts w:ascii="Calibri" w:cs="Calibri" w:eastAsia="Calibri" w:hAnsi="Calibri"/>
          <w:b/>
          <w:bCs/>
          <w:sz w:val="22"/>
          <w:szCs w:val="22"/>
        </w:rPr>
        <w:t xml:space="preserve">Zonas descartadas: </w:t>
      </w:r>
      <w:r>
        <w:rPr>
          <w:rFonts w:ascii="Calibri" w:cs="Calibri" w:eastAsia="Calibri" w:hAnsi="Calibri"/>
          <w:sz w:val="22"/>
          <w:szCs w:val="22"/>
        </w:rPr>
        <w:t xml:space="preserve">se descartan expresamente las zonas especiales. La zona .org.ar exige acreditar personería jurídica sin fines de lucro; la zona .net.ar está orientada al rubro tecnológico y de internet; las zonas .tur.ar, .coop.ar y .mutual.ar requieren habilitaciones específicas ante organismos que no alcanzan la actividad de Woodbird.</w:t>
      </w:r>
    </w:p>
    <w:p>
      <w:pPr>
        <w:pStyle w:val="Heading2"/>
        <w:spacing w:after="100" w:before="260"/>
      </w:pPr>
      <w:r>
        <w:rPr>
          <w:rFonts w:ascii="Calibri" w:cs="Calibri" w:eastAsia="Calibri" w:hAnsi="Calibri"/>
          <w:b/>
          <w:bCs/>
          <w:color w:val="3D4A28"/>
          <w:sz w:val="24"/>
          <w:szCs w:val="24"/>
        </w:rPr>
        <w:t xml:space="preserve">5.2. Requisitos exigidos por NIC Argentina</w:t>
      </w:r>
    </w:p>
    <w:p>
      <w:pPr>
        <w:spacing w:after="130" w:line="300"/>
        <w:jc w:val="both"/>
      </w:pPr>
      <w:r>
        <w:rPr>
          <w:rFonts w:ascii="Calibri" w:cs="Calibri" w:eastAsia="Calibri" w:hAnsi="Calibri"/>
          <w:i w:val="false"/>
          <w:iCs w:val="false"/>
          <w:color w:val="1A1A16"/>
          <w:sz w:val="22"/>
          <w:szCs w:val="22"/>
        </w:rPr>
        <w:t xml:space="preserve">El registro se gestiona a través de la plataforma Trámites a Distancia (TAD). Los requisitos son:</w:t>
      </w:r>
    </w:p>
    <w:p>
      <w:pPr>
        <w:pStyle w:val="ListParagraph"/>
        <w:numPr>
          <w:ilvl w:val="0"/>
          <w:numId w:val="1"/>
        </w:numPr>
        <w:spacing w:after="90" w:line="290"/>
        <w:jc w:val="both"/>
      </w:pPr>
      <w:r>
        <w:rPr>
          <w:rFonts w:ascii="Calibri" w:cs="Calibri" w:eastAsia="Calibri" w:hAnsi="Calibri"/>
          <w:sz w:val="22"/>
          <w:szCs w:val="22"/>
        </w:rPr>
        <w:t xml:space="preserve">Número de CUIT o CUIL del titular.</w:t>
      </w:r>
    </w:p>
    <w:p>
      <w:pPr>
        <w:pStyle w:val="ListParagraph"/>
        <w:numPr>
          <w:ilvl w:val="0"/>
          <w:numId w:val="1"/>
        </w:numPr>
        <w:spacing w:after="90" w:line="290"/>
        <w:jc w:val="both"/>
      </w:pPr>
      <w:r>
        <w:rPr>
          <w:rFonts w:ascii="Calibri" w:cs="Calibri" w:eastAsia="Calibri" w:hAnsi="Calibri"/>
          <w:sz w:val="22"/>
          <w:szCs w:val="22"/>
        </w:rPr>
        <w:t xml:space="preserve">Clave Fiscal de nivel 2 o superior, emitida por ARCA (ex AFIP).</w:t>
      </w:r>
    </w:p>
    <w:p>
      <w:pPr>
        <w:pStyle w:val="ListParagraph"/>
        <w:numPr>
          <w:ilvl w:val="0"/>
          <w:numId w:val="1"/>
        </w:numPr>
        <w:spacing w:after="90" w:line="290"/>
        <w:jc w:val="both"/>
      </w:pPr>
      <w:r>
        <w:rPr>
          <w:rFonts w:ascii="Calibri" w:cs="Calibri" w:eastAsia="Calibri" w:hAnsi="Calibri"/>
          <w:sz w:val="22"/>
          <w:szCs w:val="22"/>
        </w:rPr>
        <w:t xml:space="preserve">Validación de los datos personales en la plataforma TAD como paso previo a operar.</w:t>
      </w:r>
    </w:p>
    <w:p>
      <w:pPr>
        <w:pStyle w:val="ListParagraph"/>
        <w:numPr>
          <w:ilvl w:val="0"/>
          <w:numId w:val="1"/>
        </w:numPr>
        <w:spacing w:after="90" w:line="290"/>
        <w:jc w:val="both"/>
      </w:pPr>
      <w:r>
        <w:rPr>
          <w:rFonts w:ascii="Calibri" w:cs="Calibri" w:eastAsia="Calibri" w:hAnsi="Calibri"/>
          <w:sz w:val="22"/>
          <w:szCs w:val="22"/>
        </w:rPr>
        <w:t xml:space="preserve">Verificación de disponibilidad del nombre en el buscador de dominios de NIC Argentina.</w:t>
      </w:r>
    </w:p>
    <w:p>
      <w:pPr>
        <w:pStyle w:val="ListParagraph"/>
        <w:numPr>
          <w:ilvl w:val="0"/>
          <w:numId w:val="1"/>
        </w:numPr>
        <w:spacing w:after="90" w:line="290"/>
        <w:jc w:val="both"/>
      </w:pPr>
      <w:r>
        <w:rPr>
          <w:rFonts w:ascii="Calibri" w:cs="Calibri" w:eastAsia="Calibri" w:hAnsi="Calibri"/>
          <w:sz w:val="22"/>
          <w:szCs w:val="22"/>
        </w:rPr>
        <w:t xml:space="preserve">Solicitud del alta y pago del arancel correspondiente a la zona elegida.</w:t>
      </w:r>
    </w:p>
    <w:p>
      <w:pPr>
        <w:pStyle w:val="ListParagraph"/>
        <w:numPr>
          <w:ilvl w:val="0"/>
          <w:numId w:val="1"/>
        </w:numPr>
        <w:spacing w:after="90" w:line="290"/>
        <w:jc w:val="both"/>
      </w:pPr>
      <w:r>
        <w:rPr>
          <w:rFonts w:ascii="Calibri" w:cs="Calibri" w:eastAsia="Calibri" w:hAnsi="Calibri"/>
          <w:sz w:val="22"/>
          <w:szCs w:val="22"/>
        </w:rPr>
        <w:t xml:space="preserve">Delegación del dominio mediante la configuración de los servidores DNS del proveedor de hosting. Este trámite no tiene arancel.</w:t>
      </w:r>
    </w:p>
    <w:p>
      <w:pPr>
        <w:spacing w:after="130" w:line="300"/>
        <w:jc w:val="both"/>
      </w:pPr>
      <w:r>
        <w:rPr>
          <w:rFonts w:ascii="Calibri" w:cs="Calibri" w:eastAsia="Calibri" w:hAnsi="Calibri"/>
          <w:i w:val="false"/>
          <w:iCs w:val="false"/>
          <w:color w:val="1A1A16"/>
          <w:sz w:val="22"/>
          <w:szCs w:val="22"/>
        </w:rPr>
        <w:t xml:space="preserve">El registro no exige acreditar la titularidad de una marca ni una inscripción comercial previa: cualquier persona con CUIT o CUIL y clave fiscal puede registrar un .com.ar disponible.</w:t>
      </w:r>
    </w:p>
    <w:p>
      <w:pPr>
        <w:pStyle w:val="Heading2"/>
        <w:spacing w:after="100" w:before="260"/>
      </w:pPr>
      <w:r>
        <w:rPr>
          <w:rFonts w:ascii="Calibri" w:cs="Calibri" w:eastAsia="Calibri" w:hAnsi="Calibri"/>
          <w:b/>
          <w:bCs/>
          <w:color w:val="3D4A28"/>
          <w:sz w:val="24"/>
          <w:szCs w:val="24"/>
        </w:rPr>
        <w:t xml:space="preserve">5.3. Aranceles y vigencia</w:t>
      </w:r>
    </w:p>
    <w:p>
      <w:pPr>
        <w:spacing w:after="60"/>
      </w:pPr>
    </w:p>
    <w:tbl>
      <w:tblPr>
        <w:tblW w:type="dxa" w:w="9000"/>
        <w:tblBorders>
          <w:top w:val="single" w:color="C9C2A8" w:sz="4"/>
          <w:left w:val="single" w:color="C9C2A8" w:sz="4"/>
          <w:bottom w:val="single" w:color="C9C2A8" w:sz="4"/>
          <w:right w:val="single" w:color="C9C2A8" w:sz="4"/>
          <w:insideH w:val="single" w:color="C9C2A8" w:sz="4"/>
          <w:insideV w:val="single" w:color="C9C2A8" w:sz="4"/>
        </w:tblBorders>
      </w:tblPr>
      <w:tblGrid>
        <w:gridCol w:w="1800"/>
        <w:gridCol w:w="1700"/>
        <w:gridCol w:w="2200"/>
        <w:gridCol w:w="1900"/>
        <w:gridCol w:w="1400"/>
      </w:tblGrid>
      <w:tr>
        <w:trPr>
          <w:tblHeader/>
        </w:trPr>
        <w:tc>
          <w:tcPr>
            <w:tcW w:type="dxa" w:w="18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Zona</w:t>
            </w:r>
          </w:p>
        </w:tc>
        <w:tc>
          <w:tcPr>
            <w:tcW w:type="dxa" w:w="17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Alta</w:t>
            </w:r>
          </w:p>
        </w:tc>
        <w:tc>
          <w:tcPr>
            <w:tcW w:type="dxa" w:w="22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Renovación anual</w:t>
            </w:r>
          </w:p>
        </w:tc>
        <w:tc>
          <w:tcPr>
            <w:tcW w:type="dxa" w:w="19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Transferencia</w:t>
            </w:r>
          </w:p>
        </w:tc>
        <w:tc>
          <w:tcPr>
            <w:tcW w:type="dxa" w:w="1400"/>
            <w:shd w:fill="3D4A28"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Decisión</w:t>
            </w:r>
          </w:p>
        </w:tc>
      </w:tr>
      <w:tr>
        <w:tc>
          <w:tcPr>
            <w:tcW w:type="dxa" w:w="1800"/>
            <w:tcMar>
              <w:top w:type="dxa" w:w="90"/>
              <w:left w:type="dxa" w:w="130"/>
              <w:bottom w:type="dxa" w:w="90"/>
              <w:right w:type="dxa" w:w="130"/>
            </w:tcMar>
          </w:tcPr>
          <w:p>
            <w:pPr>
              <w:jc w:val="left"/>
            </w:pPr>
            <w:r>
              <w:rPr>
                <w:rFonts w:ascii="Calibri" w:cs="Calibri" w:eastAsia="Calibri" w:hAnsi="Calibri"/>
                <w:b/>
                <w:bCs/>
                <w:color w:val="1A1A16"/>
                <w:sz w:val="20"/>
                <w:szCs w:val="20"/>
              </w:rPr>
              <w:t xml:space="preserve">.com.ar</w:t>
            </w:r>
          </w:p>
        </w:tc>
        <w:tc>
          <w:tcPr>
            <w:tcW w:type="dxa" w:w="17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22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9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Seleccionada</w:t>
            </w:r>
          </w:p>
        </w:tc>
      </w:tr>
      <w:tr>
        <w:tc>
          <w:tcPr>
            <w:tcW w:type="dxa" w:w="18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.ar</w:t>
            </w:r>
          </w:p>
        </w:tc>
        <w:tc>
          <w:tcPr>
            <w:tcW w:type="dxa" w:w="17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$25.500</w:t>
            </w:r>
          </w:p>
        </w:tc>
        <w:tc>
          <w:tcPr>
            <w:tcW w:type="dxa" w:w="22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$25.500</w:t>
            </w:r>
          </w:p>
        </w:tc>
        <w:tc>
          <w:tcPr>
            <w:tcW w:type="dxa" w:w="19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$25.500</w:t>
            </w:r>
          </w:p>
        </w:tc>
        <w:tc>
          <w:tcPr>
            <w:tcW w:type="dxa" w:w="1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Diferida</w:t>
            </w:r>
          </w:p>
        </w:tc>
      </w:tr>
      <w:tr>
        <w:tc>
          <w:tcPr>
            <w:tcW w:type="dxa" w:w="1800"/>
            <w:tcMar>
              <w:top w:type="dxa" w:w="90"/>
              <w:left w:type="dxa" w:w="130"/>
              <w:bottom w:type="dxa" w:w="90"/>
              <w:right w:type="dxa" w:w="130"/>
            </w:tcMar>
          </w:tcPr>
          <w:p>
            <w:pPr>
              <w:jc w:val="left"/>
            </w:pPr>
            <w:r>
              <w:rPr>
                <w:rFonts w:ascii="Calibri" w:cs="Calibri" w:eastAsia="Calibri" w:hAnsi="Calibri"/>
                <w:b/>
                <w:bCs/>
                <w:color w:val="1A1A16"/>
                <w:sz w:val="20"/>
                <w:szCs w:val="20"/>
              </w:rPr>
              <w:t xml:space="preserve">.net.ar</w:t>
            </w:r>
          </w:p>
        </w:tc>
        <w:tc>
          <w:tcPr>
            <w:tcW w:type="dxa" w:w="17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22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9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400"/>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Descartada</w:t>
            </w:r>
          </w:p>
        </w:tc>
      </w:tr>
      <w:tr>
        <w:tc>
          <w:tcPr>
            <w:tcW w:type="dxa" w:w="1800"/>
            <w:shd w:fill="EFEADC" w:color="auto" w:val="clear"/>
            <w:tcMar>
              <w:top w:type="dxa" w:w="90"/>
              <w:left w:type="dxa" w:w="130"/>
              <w:bottom w:type="dxa" w:w="90"/>
              <w:right w:type="dxa" w:w="130"/>
            </w:tcMar>
          </w:tcPr>
          <w:p>
            <w:pPr>
              <w:jc w:val="left"/>
            </w:pPr>
            <w:r>
              <w:rPr>
                <w:rFonts w:ascii="Calibri" w:cs="Calibri" w:eastAsia="Calibri" w:hAnsi="Calibri"/>
                <w:b/>
                <w:bCs/>
                <w:color w:val="1A1A16"/>
                <w:sz w:val="20"/>
                <w:szCs w:val="20"/>
              </w:rPr>
              <w:t xml:space="preserve">.org.ar</w:t>
            </w:r>
          </w:p>
        </w:tc>
        <w:tc>
          <w:tcPr>
            <w:tcW w:type="dxa" w:w="17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22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9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$8.500</w:t>
            </w:r>
          </w:p>
        </w:tc>
        <w:tc>
          <w:tcPr>
            <w:tcW w:type="dxa" w:w="1400"/>
            <w:shd w:fill="EFEADC" w:color="auto" w:val="clear"/>
            <w:tcMar>
              <w:top w:type="dxa" w:w="90"/>
              <w:left w:type="dxa" w:w="130"/>
              <w:bottom w:type="dxa" w:w="90"/>
              <w:right w:type="dxa" w:w="130"/>
            </w:tcMar>
          </w:tcPr>
          <w:p>
            <w:pPr>
              <w:jc w:val="left"/>
            </w:pPr>
            <w:r>
              <w:rPr>
                <w:rFonts w:ascii="Calibri" w:cs="Calibri" w:eastAsia="Calibri" w:hAnsi="Calibri"/>
                <w:b w:val="false"/>
                <w:bCs w:val="false"/>
                <w:color w:val="1A1A16"/>
                <w:sz w:val="20"/>
                <w:szCs w:val="20"/>
              </w:rPr>
              <w:t xml:space="preserve">No aplicable</w:t>
            </w:r>
          </w:p>
        </w:tc>
      </w:tr>
    </w:tbl>
    <w:p>
      <w:pPr>
        <w:spacing w:after="140"/>
      </w:pPr>
    </w:p>
    <w:p>
      <w:pPr>
        <w:spacing w:after="130" w:line="300"/>
        <w:jc w:val="both"/>
      </w:pPr>
      <w:r>
        <w:rPr>
          <w:rFonts w:ascii="Calibri" w:cs="Calibri" w:eastAsia="Calibri" w:hAnsi="Calibri"/>
          <w:i w:val="false"/>
          <w:iCs w:val="false"/>
          <w:color w:val="1A1A16"/>
          <w:sz w:val="22"/>
          <w:szCs w:val="22"/>
        </w:rPr>
        <w:t xml:space="preserve">Los dominios tienen una vigencia de un año y se renuevan anualmente. El nuevo vencimiento se computa a los trescientos sesenta y cinco días del vencimiento anterior, y no desde la fecha de acreditación del pago. La falta de renovación en término libera el dominio, que puede ser registrado por un tercero. El arancel de disputa, común a todas las zonas, asciende a $28.800.</w:t>
      </w:r>
    </w:p>
    <w:p>
      <w:pPr>
        <w:spacing w:after="130" w:line="300"/>
        <w:jc w:val="both"/>
      </w:pPr>
      <w:r>
        <w:rPr>
          <w:rFonts w:ascii="Calibri" w:cs="Calibri" w:eastAsia="Calibri" w:hAnsi="Calibri"/>
          <w:b/>
          <w:bCs/>
          <w:i w:val="false"/>
          <w:iCs w:val="false"/>
          <w:color w:val="1A1A16"/>
          <w:sz w:val="22"/>
          <w:szCs w:val="22"/>
        </w:rPr>
        <w:t xml:space="preserve">Riesgo operativo. </w:t>
      </w:r>
      <w:r>
        <w:rPr>
          <w:rFonts w:ascii="Calibri" w:cs="Calibri" w:eastAsia="Calibri" w:hAnsi="Calibri"/>
          <w:b w:val="false"/>
          <w:bCs w:val="false"/>
          <w:i w:val="false"/>
          <w:iCs w:val="false"/>
          <w:color w:val="1A1A16"/>
          <w:sz w:val="22"/>
          <w:szCs w:val="22"/>
        </w:rPr>
        <w:t xml:space="preserve">La pérdida del dominio por vencimiento es una de las contingencias más frecuentes y más costosas en el comercio electrónico, porque implica la caída simultánea de la tienda, del correo institucional y del posicionamiento acumulado. Corresponde incorporar la fecha de renovación al cronograma del proyecto como hito anual con alerta anticipada.</w:t>
      </w:r>
    </w:p>
    <w:p>
      <w:pPr>
        <w:pStyle w:val="Heading2"/>
        <w:spacing w:after="100" w:before="260"/>
      </w:pPr>
      <w:r>
        <w:rPr>
          <w:rFonts w:ascii="Calibri" w:cs="Calibri" w:eastAsia="Calibri" w:hAnsi="Calibri"/>
          <w:b/>
          <w:bCs/>
          <w:color w:val="3D4A28"/>
          <w:sz w:val="24"/>
          <w:szCs w:val="24"/>
        </w:rPr>
        <w:t xml:space="preserve">5.4. Estrategia defensiva</w:t>
      </w:r>
    </w:p>
    <w:p>
      <w:pPr>
        <w:spacing w:after="130" w:line="300"/>
        <w:jc w:val="both"/>
      </w:pPr>
      <w:r>
        <w:rPr>
          <w:rFonts w:ascii="Calibri" w:cs="Calibri" w:eastAsia="Calibri" w:hAnsi="Calibri"/>
          <w:i w:val="false"/>
          <w:iCs w:val="false"/>
          <w:color w:val="1A1A16"/>
          <w:sz w:val="22"/>
          <w:szCs w:val="22"/>
        </w:rPr>
        <w:t xml:space="preserve">Una vez consolidada la operación se recomienda evaluar el registro de woodbird.ar como dominio defensivo, con redirección al dominio principal, a fin de impedir que un tercero se apropie de la variante breve y aproveche el prestigio del signo. La decisión se difiere por razones de costo hasta que la facturación lo justifique.</w:t>
      </w:r>
    </w:p>
    <w:p>
      <w:pPr>
        <w:pStyle w:val="Heading1"/>
        <w:pBdr>
          <w:bottom w:val="single" w:color="3D4A28" w:sz="8" w:space="6"/>
        </w:pBdr>
        <w:spacing w:after="160" w:before="360"/>
      </w:pPr>
      <w:r>
        <w:rPr>
          <w:rFonts w:ascii="Calibri" w:cs="Calibri" w:eastAsia="Calibri" w:hAnsi="Calibri"/>
          <w:b/>
          <w:bCs/>
          <w:color w:val="3D4A28"/>
          <w:sz w:val="30"/>
          <w:szCs w:val="30"/>
        </w:rPr>
        <w:t xml:space="preserve">6. Consideración ambiental sobre la materia prima</w:t>
      </w:r>
    </w:p>
    <w:p>
      <w:pPr>
        <w:spacing w:after="130" w:line="300"/>
        <w:jc w:val="both"/>
      </w:pPr>
      <w:r>
        <w:rPr>
          <w:rFonts w:ascii="Calibri" w:cs="Calibri" w:eastAsia="Calibri" w:hAnsi="Calibri"/>
          <w:i w:val="false"/>
          <w:iCs w:val="false"/>
          <w:color w:val="1A1A16"/>
          <w:sz w:val="22"/>
          <w:szCs w:val="22"/>
        </w:rPr>
        <w:t xml:space="preserve">El análisis de viabilidad legal de Woodbird resultaría incompleto si se limitara a la marca y al dominio. La materia prima principal declarada en el modelo de negocio impone una obligación regulatoria específica que condiciona la operación.</w:t>
      </w:r>
    </w:p>
    <w:p>
      <w:pPr>
        <w:spacing w:after="130" w:line="300"/>
        <w:jc w:val="both"/>
      </w:pPr>
      <w:r>
        <w:rPr>
          <w:rFonts w:ascii="Calibri" w:cs="Calibri" w:eastAsia="Calibri" w:hAnsi="Calibri"/>
          <w:i w:val="false"/>
          <w:iCs w:val="false"/>
          <w:color w:val="1A1A16"/>
          <w:sz w:val="22"/>
          <w:szCs w:val="22"/>
        </w:rPr>
        <w:t xml:space="preserve">El palo santo (Bulnesia sarmientoi, actualmente Gonopterodendron sarmientoi) se encuentra incluido desde el año 2010 en el Apéndice II de la Convención CITES, decisión adoptada en la decimoquinta reunión de la Conferencia de las Partes celebrada en Doha. La República Argentina adhirió a la Convención mediante la Ley 22.344. Su aprovechamiento forestal está además alcanzado por la Ley 26.331 de presupuestos mínimos de protección ambiental de los bosques nativos.</w:t>
      </w:r>
    </w:p>
    <w:p>
      <w:pPr>
        <w:spacing w:after="130" w:line="300"/>
        <w:jc w:val="both"/>
      </w:pPr>
      <w:r>
        <w:rPr>
          <w:rFonts w:ascii="Calibri" w:cs="Calibri" w:eastAsia="Calibri" w:hAnsi="Calibri"/>
          <w:i w:val="false"/>
          <w:iCs w:val="false"/>
          <w:color w:val="1A1A16"/>
          <w:sz w:val="22"/>
          <w:szCs w:val="22"/>
        </w:rPr>
        <w:t xml:space="preserve">La especie se distribuye en las provincias de Chaco, Formosa y Salta, que han dictado normas específicas para regular su aprovechamiento. Dado que Woodbird se radica en el Chaco, la obtención de la materia prima queda sujeta a la normativa provincial de aprovechamiento forestal y a la trazabilidad exigida por la autoridad de aplicación.</w:t>
      </w:r>
    </w:p>
    <w:p>
      <w:pPr>
        <w:spacing w:after="130" w:line="300"/>
        <w:jc w:val="both"/>
      </w:pPr>
      <w:r>
        <w:rPr>
          <w:rFonts w:ascii="Calibri" w:cs="Calibri" w:eastAsia="Calibri" w:hAnsi="Calibri"/>
          <w:i w:val="false"/>
          <w:iCs w:val="false"/>
          <w:color w:val="1A1A16"/>
          <w:sz w:val="22"/>
          <w:szCs w:val="22"/>
        </w:rPr>
        <w:t xml:space="preserve">De ello se derivan tres consecuencias directas para el proyecto:</w:t>
      </w:r>
    </w:p>
    <w:p>
      <w:pPr>
        <w:pStyle w:val="ListParagraph"/>
        <w:numPr>
          <w:ilvl w:val="0"/>
          <w:numId w:val="1"/>
        </w:numPr>
        <w:spacing w:after="90" w:line="290"/>
        <w:jc w:val="both"/>
      </w:pPr>
      <w:r>
        <w:rPr>
          <w:rFonts w:ascii="Calibri" w:cs="Calibri" w:eastAsia="Calibri" w:hAnsi="Calibri"/>
          <w:b/>
          <w:bCs/>
          <w:sz w:val="22"/>
          <w:szCs w:val="22"/>
        </w:rPr>
        <w:t xml:space="preserve">Cadena de aprovisionamiento: </w:t>
      </w:r>
      <w:r>
        <w:rPr>
          <w:rFonts w:ascii="Calibri" w:cs="Calibri" w:eastAsia="Calibri" w:hAnsi="Calibri"/>
          <w:sz w:val="22"/>
          <w:szCs w:val="22"/>
        </w:rPr>
        <w:t xml:space="preserve">la madera debe adquirirse a proveedores que acrediten origen legal y trazabilidad. La compra informal expone a la empresa a sanciones y al decomiso de la mercadería.</w:t>
      </w:r>
    </w:p>
    <w:p>
      <w:pPr>
        <w:pStyle w:val="ListParagraph"/>
        <w:numPr>
          <w:ilvl w:val="0"/>
          <w:numId w:val="1"/>
        </w:numPr>
        <w:spacing w:after="90" w:line="290"/>
        <w:jc w:val="both"/>
      </w:pPr>
      <w:r>
        <w:rPr>
          <w:rFonts w:ascii="Calibri" w:cs="Calibri" w:eastAsia="Calibri" w:hAnsi="Calibri"/>
          <w:b/>
          <w:bCs/>
          <w:sz w:val="22"/>
          <w:szCs w:val="22"/>
        </w:rPr>
        <w:t xml:space="preserve">Exportación: </w:t>
      </w:r>
      <w:r>
        <w:rPr>
          <w:rFonts w:ascii="Calibri" w:cs="Calibri" w:eastAsia="Calibri" w:hAnsi="Calibri"/>
          <w:sz w:val="22"/>
          <w:szCs w:val="22"/>
        </w:rPr>
        <w:t xml:space="preserve">la venta a compradores del exterior requiere certificado o permiso CITES de exportación, cuya emisión exige un dictamen de extracción no perjudicial de la autoridad científica y la verificación del origen legal por la autoridad administrativa. Esta restricción debe reflejarse en los términos y condiciones de la tienda antes de habilitar el envío internacional.</w:t>
      </w:r>
    </w:p>
    <w:p>
      <w:pPr>
        <w:pStyle w:val="ListParagraph"/>
        <w:numPr>
          <w:ilvl w:val="0"/>
          <w:numId w:val="1"/>
        </w:numPr>
        <w:spacing w:after="90" w:line="290"/>
        <w:jc w:val="both"/>
      </w:pPr>
      <w:r>
        <w:rPr>
          <w:rFonts w:ascii="Calibri" w:cs="Calibri" w:eastAsia="Calibri" w:hAnsi="Calibri"/>
          <w:b/>
          <w:bCs/>
          <w:sz w:val="22"/>
          <w:szCs w:val="22"/>
        </w:rPr>
        <w:t xml:space="preserve">Oportunidad: </w:t>
      </w:r>
      <w:r>
        <w:rPr>
          <w:rFonts w:ascii="Calibri" w:cs="Calibri" w:eastAsia="Calibri" w:hAnsi="Calibri"/>
          <w:sz w:val="22"/>
          <w:szCs w:val="22"/>
        </w:rPr>
        <w:t xml:space="preserve">la trazabilidad documentada de una especie protegida es un activo comunicable. Constituye un argumento verificable para la declaración de triple impacto prevista en la Semana 2, en lugar de una afirmación genérica de sustentabilidad.</w:t>
      </w:r>
    </w:p>
    <w:p>
      <w:pPr>
        <w:pStyle w:val="Heading1"/>
        <w:pBdr>
          <w:bottom w:val="single" w:color="3D4A28" w:sz="8" w:space="6"/>
        </w:pBdr>
        <w:spacing w:after="160" w:before="360"/>
      </w:pPr>
      <w:r>
        <w:rPr>
          <w:rFonts w:ascii="Calibri" w:cs="Calibri" w:eastAsia="Calibri" w:hAnsi="Calibri"/>
          <w:b/>
          <w:bCs/>
          <w:color w:val="3D4A28"/>
          <w:sz w:val="30"/>
          <w:szCs w:val="30"/>
        </w:rPr>
        <w:t xml:space="preserve">7. Conclusiones</w:t>
      </w:r>
    </w:p>
    <w:p>
      <w:pPr>
        <w:pStyle w:val="ListParagraph"/>
        <w:numPr>
          <w:ilvl w:val="0"/>
          <w:numId w:val="1"/>
        </w:numPr>
        <w:spacing w:after="90" w:line="290"/>
        <w:jc w:val="both"/>
      </w:pPr>
      <w:r>
        <w:rPr>
          <w:rFonts w:ascii="Calibri" w:cs="Calibri" w:eastAsia="Calibri" w:hAnsi="Calibri"/>
          <w:sz w:val="22"/>
          <w:szCs w:val="22"/>
        </w:rPr>
        <w:t xml:space="preserve">El registro de la marca es viable y debe presentarse en la clase 20 de la Clasificación de Niza, con un arancel de referencia de $40.569 por clase, sujeto a actualización mensual por UMAPI.</w:t>
      </w:r>
    </w:p>
    <w:p>
      <w:pPr>
        <w:pStyle w:val="ListParagraph"/>
        <w:numPr>
          <w:ilvl w:val="0"/>
          <w:numId w:val="1"/>
        </w:numPr>
        <w:spacing w:after="90" w:line="290"/>
        <w:jc w:val="both"/>
      </w:pPr>
      <w:r>
        <w:rPr>
          <w:rFonts w:ascii="Calibri" w:cs="Calibri" w:eastAsia="Calibri" w:hAnsi="Calibri"/>
          <w:sz w:val="22"/>
          <w:szCs w:val="22"/>
        </w:rPr>
        <w:t xml:space="preserve">La simulación de búsqueda no arrojó antecedentes idénticos ni confundibles. El riesgo relevante no proviene de terceros, sino de la carga descriptiva del propio signo frente al artículo 2 de la Ley 22.362.</w:t>
      </w:r>
    </w:p>
    <w:p>
      <w:pPr>
        <w:pStyle w:val="ListParagraph"/>
        <w:numPr>
          <w:ilvl w:val="0"/>
          <w:numId w:val="1"/>
        </w:numPr>
        <w:spacing w:after="90" w:line="290"/>
        <w:jc w:val="both"/>
      </w:pPr>
      <w:r>
        <w:rPr>
          <w:rFonts w:ascii="Calibri" w:cs="Calibri" w:eastAsia="Calibri" w:hAnsi="Calibri"/>
          <w:sz w:val="22"/>
          <w:szCs w:val="22"/>
        </w:rPr>
        <w:t xml:space="preserve">Se recomienda presentar «Woodbird» como marca mixta. El componente gráfico aporta la distintividad que el elemento verbal no asegura por sí mismo.</w:t>
      </w:r>
    </w:p>
    <w:p>
      <w:pPr>
        <w:pStyle w:val="ListParagraph"/>
        <w:numPr>
          <w:ilvl w:val="0"/>
          <w:numId w:val="1"/>
        </w:numPr>
        <w:spacing w:after="90" w:line="290"/>
        <w:jc w:val="both"/>
      </w:pPr>
      <w:r>
        <w:rPr>
          <w:rFonts w:ascii="Calibri" w:cs="Calibri" w:eastAsia="Calibri" w:hAnsi="Calibri"/>
          <w:sz w:val="22"/>
          <w:szCs w:val="22"/>
        </w:rPr>
        <w:t xml:space="preserve">La zona de dominio seleccionada es .com.ar, por adecuación al objeto comercial, por costo y por correspondencia con el mercado nacional. El alta y la renovación anual ascienden a $8.500.</w:t>
      </w:r>
    </w:p>
    <w:p>
      <w:pPr>
        <w:pStyle w:val="ListParagraph"/>
        <w:numPr>
          <w:ilvl w:val="0"/>
          <w:numId w:val="1"/>
        </w:numPr>
        <w:spacing w:after="90" w:line="290"/>
        <w:jc w:val="both"/>
      </w:pPr>
      <w:r>
        <w:rPr>
          <w:rFonts w:ascii="Calibri" w:cs="Calibri" w:eastAsia="Calibri" w:hAnsi="Calibri"/>
          <w:sz w:val="22"/>
          <w:szCs w:val="22"/>
        </w:rPr>
        <w:t xml:space="preserve">Ambos trámites exigen CUIT o CUIL y Clave Fiscal de nivel 2 o superior, y se gestionan de manera íntegramente digital.</w:t>
      </w:r>
    </w:p>
    <w:p>
      <w:pPr>
        <w:pStyle w:val="ListParagraph"/>
        <w:numPr>
          <w:ilvl w:val="0"/>
          <w:numId w:val="1"/>
        </w:numPr>
        <w:spacing w:after="90" w:line="290"/>
        <w:jc w:val="both"/>
      </w:pPr>
      <w:r>
        <w:rPr>
          <w:rFonts w:ascii="Calibri" w:cs="Calibri" w:eastAsia="Calibri" w:hAnsi="Calibri"/>
          <w:sz w:val="22"/>
          <w:szCs w:val="22"/>
        </w:rPr>
        <w:t xml:space="preserve">El uso de palo santo como materia prima incorpora obligaciones de trazabilidad forestal y restricciones a la exportación derivadas del régimen CITES, que deben preverse en la operación y reflejarse en los términos y condiciones del sitio.</w:t>
      </w:r>
    </w:p>
    <w:p>
      <w:pPr>
        <w:pStyle w:val="ListParagraph"/>
        <w:numPr>
          <w:ilvl w:val="0"/>
          <w:numId w:val="1"/>
        </w:numPr>
        <w:spacing w:after="90" w:line="290"/>
        <w:jc w:val="both"/>
      </w:pPr>
      <w:r>
        <w:rPr>
          <w:rFonts w:ascii="Calibri" w:cs="Calibri" w:eastAsia="Calibri" w:hAnsi="Calibri"/>
          <w:sz w:val="22"/>
          <w:szCs w:val="22"/>
        </w:rPr>
        <w:t xml:space="preserve">Se identifican dos obligaciones diferidas que corresponde incorporar al cronograma: la renovación anual del dominio y la declaración jurada de uso de la marca entre el quinto y el sexto año desde su concesión.</w:t>
      </w:r>
    </w:p>
    <w:p>
      <w:pPr>
        <w:pStyle w:val="Heading1"/>
        <w:pBdr>
          <w:bottom w:val="single" w:color="3D4A28" w:sz="8" w:space="6"/>
        </w:pBdr>
        <w:spacing w:after="160" w:before="360"/>
      </w:pPr>
      <w:r>
        <w:rPr>
          <w:rFonts w:ascii="Calibri" w:cs="Calibri" w:eastAsia="Calibri" w:hAnsi="Calibri"/>
          <w:b/>
          <w:bCs/>
          <w:color w:val="3D4A28"/>
          <w:sz w:val="30"/>
          <w:szCs w:val="30"/>
        </w:rPr>
        <w:t xml:space="preserve">8. Fuentes consultadas</w:t>
      </w:r>
    </w:p>
    <w:p>
      <w:pPr>
        <w:pStyle w:val="ListParagraph"/>
        <w:numPr>
          <w:ilvl w:val="0"/>
          <w:numId w:val="1"/>
        </w:numPr>
        <w:spacing w:after="90" w:line="290"/>
        <w:jc w:val="both"/>
      </w:pPr>
      <w:r>
        <w:rPr>
          <w:rFonts w:ascii="Calibri" w:cs="Calibri" w:eastAsia="Calibri" w:hAnsi="Calibri"/>
          <w:sz w:val="22"/>
          <w:szCs w:val="22"/>
        </w:rPr>
        <w:t xml:space="preserve">Ley 22.362 de Marcas y Designaciones.</w:t>
      </w:r>
    </w:p>
    <w:p>
      <w:pPr>
        <w:pStyle w:val="ListParagraph"/>
        <w:numPr>
          <w:ilvl w:val="0"/>
          <w:numId w:val="1"/>
        </w:numPr>
        <w:spacing w:after="90" w:line="290"/>
        <w:jc w:val="both"/>
      </w:pPr>
      <w:r>
        <w:rPr>
          <w:rFonts w:ascii="Calibri" w:cs="Calibri" w:eastAsia="Calibri" w:hAnsi="Calibri"/>
          <w:sz w:val="22"/>
          <w:szCs w:val="22"/>
        </w:rPr>
        <w:t xml:space="preserve">Resolución INPI 75/2026, publicada en el Boletín Oficial el 20 de marzo de 2026 (aranceles y creación de la UMAPI).</w:t>
      </w:r>
    </w:p>
    <w:p>
      <w:pPr>
        <w:pStyle w:val="ListParagraph"/>
        <w:numPr>
          <w:ilvl w:val="0"/>
          <w:numId w:val="1"/>
        </w:numPr>
        <w:spacing w:after="90" w:line="290"/>
        <w:jc w:val="both"/>
      </w:pPr>
      <w:r>
        <w:rPr>
          <w:rFonts w:ascii="Calibri" w:cs="Calibri" w:eastAsia="Calibri" w:hAnsi="Calibri"/>
          <w:sz w:val="22"/>
          <w:szCs w:val="22"/>
        </w:rPr>
        <w:t xml:space="preserve">Resolución INPI 583/2025 (procedimiento de examen y publicación).</w:t>
      </w:r>
    </w:p>
    <w:p>
      <w:pPr>
        <w:pStyle w:val="ListParagraph"/>
        <w:numPr>
          <w:ilvl w:val="0"/>
          <w:numId w:val="1"/>
        </w:numPr>
        <w:spacing w:after="90" w:line="290"/>
        <w:jc w:val="both"/>
      </w:pPr>
      <w:r>
        <w:rPr>
          <w:rFonts w:ascii="Calibri" w:cs="Calibri" w:eastAsia="Calibri" w:hAnsi="Calibri"/>
          <w:sz w:val="22"/>
          <w:szCs w:val="22"/>
        </w:rPr>
        <w:t xml:space="preserve">Instituto Nacional de la Propiedad Industrial — portal de trámites y sección de aranceles.</w:t>
      </w:r>
    </w:p>
    <w:p>
      <w:pPr>
        <w:pStyle w:val="ListParagraph"/>
        <w:numPr>
          <w:ilvl w:val="0"/>
          <w:numId w:val="1"/>
        </w:numPr>
        <w:spacing w:after="90" w:line="290"/>
        <w:jc w:val="both"/>
      </w:pPr>
      <w:r>
        <w:rPr>
          <w:rFonts w:ascii="Calibri" w:cs="Calibri" w:eastAsia="Calibri" w:hAnsi="Calibri"/>
          <w:sz w:val="22"/>
          <w:szCs w:val="22"/>
        </w:rPr>
        <w:t xml:space="preserve">NIC Argentina — sección «Dominios y Aranceles», preguntas frecuentes y normativa vigente. Consultado el 8 de septiembre de 2026.</w:t>
      </w:r>
    </w:p>
    <w:p>
      <w:pPr>
        <w:pStyle w:val="ListParagraph"/>
        <w:numPr>
          <w:ilvl w:val="0"/>
          <w:numId w:val="1"/>
        </w:numPr>
        <w:spacing w:after="90" w:line="290"/>
        <w:jc w:val="both"/>
      </w:pPr>
      <w:r>
        <w:rPr>
          <w:rFonts w:ascii="Calibri" w:cs="Calibri" w:eastAsia="Calibri" w:hAnsi="Calibri"/>
          <w:sz w:val="22"/>
          <w:szCs w:val="22"/>
        </w:rPr>
        <w:t xml:space="preserve">Ley 22.344, de aprobación de la Convención CITES, y Ley 26.331 de bosques nativos.</w:t>
      </w:r>
    </w:p>
    <w:p>
      <w:pPr>
        <w:pStyle w:val="ListParagraph"/>
        <w:numPr>
          <w:ilvl w:val="0"/>
          <w:numId w:val="1"/>
        </w:numPr>
        <w:spacing w:after="90" w:line="290"/>
        <w:jc w:val="both"/>
      </w:pPr>
      <w:r>
        <w:rPr>
          <w:rFonts w:ascii="Calibri" w:cs="Calibri" w:eastAsia="Calibri" w:hAnsi="Calibri"/>
          <w:sz w:val="22"/>
          <w:szCs w:val="22"/>
        </w:rPr>
        <w:t xml:space="preserve">Ministerio de Ambiente — información sobre manejo forestal sostenible del palo santo (Gonopterodendron sarmientoi).</w:t>
      </w:r>
    </w:p>
    <w:p>
      <w:pPr>
        <w:pStyle w:val="ListParagraph"/>
        <w:numPr>
          <w:ilvl w:val="0"/>
          <w:numId w:val="1"/>
        </w:numPr>
        <w:spacing w:after="90" w:line="290"/>
        <w:jc w:val="both"/>
      </w:pPr>
      <w:r>
        <w:rPr>
          <w:rFonts w:ascii="Calibri" w:cs="Calibri" w:eastAsia="Calibri" w:hAnsi="Calibri"/>
          <w:sz w:val="22"/>
          <w:szCs w:val="22"/>
        </w:rPr>
        <w:t xml:space="preserve">Resolución SAyDS 869/2017 y Resolución SAyDS 393/2013 (permisos CITES para exportación de palo santo).</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0"/>
        <w:sz w:val="16"/>
        <w:szCs w:val="16"/>
      </w:rPr>
      <w:t xml:space="preserve">Woodbird · Sprint 1, Semana 1 · Legislación e Impositiva · </w:t>
    </w:r>
    <w:r>
      <w:rPr>
        <w:rFonts w:ascii="Calibri" w:cs="Calibri" w:eastAsia="Calibri" w:hAnsi="Calibri"/>
        <w:color w:val="5A5A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Viabilidad de Marca y Registro de Dominios — Woodbird</dc:title>
  <dc:creator>Reiss Jorge Nicolás</dc:creator>
  <cp:lastModifiedBy>Un-named</cp:lastModifiedBy>
  <cp:revision>1</cp:revision>
  <dcterms:created xsi:type="dcterms:W3CDTF">2026-09-08T04:35:50.928Z</dcterms:created>
  <dcterms:modified xsi:type="dcterms:W3CDTF">2026-09-08T04:35:50.939Z</dcterms:modified>
</cp:coreProperties>
</file>

<file path=docProps/custom.xml><?xml version="1.0" encoding="utf-8"?>
<Properties xmlns="http://schemas.openxmlformats.org/officeDocument/2006/custom-properties" xmlns:vt="http://schemas.openxmlformats.org/officeDocument/2006/docPropsVTypes"/>
</file>