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PLAN DE CASOS DE PRUEBA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Plan de pruebas inicial (carrito, navegación adaptable y reglas de negocio)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 / QA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alcance</w:t>
      </w:r>
    </w:p>
    <w:p>
      <w:r>
        <w:t>Este plan define los casos de prueba que verifican, antes del lanzamiento del Sprint 4, el funcionamiento del carrito de compras, la navegación adaptable y el cumplimiento de las reglas de negocio y de las cláusulas legales. Cada caso indica la regla o la cláusula que verifica, para mantener la coherencia entre el software y los Términos y Condiciones que pide el criterio integrador del sprint.</w:t>
      </w:r>
    </w:p>
    <w:p>
      <w:r>
        <w:t>Quedan fuera del alcance el pago real y el envío de datos a un servidor, que no existen en la versión de demostración, así como la carga de trabajo y el rendimiento.</w:t>
      </w:r>
    </w:p>
    <w:p>
      <w:pPr>
        <w:pStyle w:val="Heading1"/>
      </w:pPr>
      <w:r>
        <w:t>2. Estrategia y entorno</w:t>
      </w:r>
    </w:p>
    <w:p>
      <w:pPr>
        <w:pStyle w:val="ListBullet"/>
        <w:spacing w:after="60"/>
      </w:pPr>
      <w:r>
        <w:rPr>
          <w:b/>
        </w:rPr>
        <w:t xml:space="preserve">Pruebas automáticas. </w:t>
      </w:r>
      <w:r>
        <w:t>33 casos se ejecutan con pruebas/responsive.mjs, que maneja Chrome sin interfaz por el protocolo DevTools, sin dependencias. Recorre index.html, politica-privacidad.html y terminos-y-condiciones.html en 11 anchos (de 320 a 1920 px), con movimiento reducido, y guarda capturas y resultados.json.</w:t>
      </w:r>
    </w:p>
    <w:p>
      <w:pPr>
        <w:pStyle w:val="ListBullet"/>
        <w:spacing w:after="60"/>
      </w:pPr>
      <w:r>
        <w:rPr>
          <w:b/>
        </w:rPr>
        <w:t xml:space="preserve">Pruebas manuales. </w:t>
      </w:r>
      <w:r>
        <w:t>5 casos requieren a una persona, un dispositivo real u otro navegador. Se ejecutan en el Sprint 4, antes del lanzamiento.</w:t>
      </w:r>
    </w:p>
    <w:p>
      <w:pPr>
        <w:pStyle w:val="ListBullet"/>
        <w:spacing w:after="60"/>
      </w:pPr>
      <w:r>
        <w:rPr>
          <w:b/>
        </w:rPr>
        <w:t xml:space="preserve">Entorno. </w:t>
      </w:r>
      <w:r>
        <w:t>Sitio servido con «python -m http.server 8765». Node 22 y Chrome en Windows 10. Los datos salen de productos.json: Cardenal $28.400, Carpintero $34.900, Tucán sin stock y envío $5.900.</w:t>
      </w:r>
    </w:p>
    <w:p>
      <w:pPr>
        <w:pStyle w:val="ListBullet"/>
        <w:spacing w:after="60"/>
      </w:pPr>
      <w:r>
        <w:rPr>
          <w:b/>
        </w:rPr>
        <w:t xml:space="preserve">Ejecución. </w:t>
      </w:r>
      <w:r>
        <w:t>Después de cada cambio en el HTML, el CSS o el JavaScript, con el comando «node pruebas/responsive.mjs http://127.0.0.1:8765/ pruebas/salida».</w:t>
      </w:r>
    </w:p>
    <w:p>
      <w:pPr>
        <w:pStyle w:val="Heading1"/>
      </w:pPr>
      <w:r>
        <w:t>3. Casos de prueba</w:t>
      </w:r>
    </w:p>
    <w:p>
      <w:pPr>
        <w:pStyle w:val="Heading2"/>
      </w:pPr>
      <w:r>
        <w:t>3.1. Catálogo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Carga asincrónica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index.html servido por HTTP.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generan 12 tarjetas desde productos.json. El estado dice «Mostrando 12 de 12 piezas».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Recién talladas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la página de inicio.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muestran las 4 piezas con stock de id más alto: Garza blanca, Zorzal, Lechucita vizcachera y Picaflor.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Pieza sin stock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Buscar la tarjeta del Tucán (stock: false).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botón dice «Sin stock», está deshabilitado y la pieza no se puede agregar.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Sello de 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todas las tarjetas.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Las 12 tarjetas llevan el sello «Imagen con IA».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4; Declaración Ética de IA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«Palo santo».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piezas: Cardenal, Chuña, Calandria y Tucán.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precio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«Hasta $25.000».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7 piezas, todas de $25.000 o menos.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tildes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«chuna» en el buscador.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Aparece la Chuña.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«quebracho».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 de quebracho.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resultados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«pingüino».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Ninguna tarjeta y el mensaje «No hay piezas que coincidan con «pingüino».»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Bloquear la petición de productos.json y recargar.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Mensaje «No pudimos cargar el catálogo…» marcado como error. La grilla no queda en estado de carga.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3.2.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piezas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Cardenal ($28.400) y Carpintero ($34.900).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2 filas, contador 2, subtotal $63.300, envío $5.900 y total $69.200, igual en el carrito y en el checkout.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cláusulas 5 y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una pieza repetida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otra vez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fila pasa a cantidad 2 (no se duplica). Contador 3, total $97.600.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Cambiar la cantidad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3 en la cantidad del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Total $126.000 en el carrito y en el checkout, al instante.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Cantidad fuera de rango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25 en la cantidad.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corrige a 10, el tope por pieza.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Quitar una pieza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«Quitar» en el Carpintero.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Queda 1 fila, total $34.300, y el foco pasa al título del carrito.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Quitar todas las piezas.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oculta la tabla, se muestra «Tu carrito está vacío», el contador se oculta y el envío pasa a $0.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para lectores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región de estado anuncia «Agregaste Cardenal al carrito.»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3.3.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Formulario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«Ir al pago» sin completar nada.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 Quedan marcados como inválidos nombre, correo, dirección, localidad, código postal, términos y consentimiento.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inconsistentes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Nombre «Ana», correo «ana@correo», teléfono «12-34», CP «35000».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cada campo muestra su propio mensaje (nombre y apellido, dominio del correo, 8 a 15 números, CP de 4 números).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Código postal inválido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Corregir todo menos el CP.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Compra válida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Datos correctos, términos y consentimiento aceptados.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Confirmación con número WB-XXXXXX, piezas, total y recordatorio del arrepentimiento. Formulario y carrito vacíos.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Cláusulas 6 y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 con formulario completo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Completar todo con el carrito vacío.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aparece el mensaje «Tu carrito está vacío…»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Aceptación de los términos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Dejar sin marcar la casilla de términos.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confirma: la casilla es obligatoria.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sin salir del navegador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Registrar las peticiones de red durante la compra.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Cero peticiones.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25.326; cláusula 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3.4. Navegación adaptable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Sin desborde horizontal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3 páginas × 11 anchos, de 320 a 1920 px.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Ningún desborde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Objetivos táctiles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botones, enlaces y campos.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miden al menos 44 px de alto.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Contraste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cada par de texto y fondo.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cumplen WCAG AA.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Navegación por anclas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Usar cada enlace de la barra y de los índices.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título de destino queda visible y no lo tapa la barra fija.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Disposición del carrito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Comparar los anchos.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Renglones apilados por debajo de 600 px, tabla desde 600 px, carrito y checkout lado a lado desde 960 px.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Diseño responsive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 visible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Bajar hasta el final en móvil.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barra inferior fija no tapa el pie.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3.5. Reglas legales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Botón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cada página en cada ancho, sin desplazarse.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enlace «Botón de arrepentimiento» se ve en la primera pantalla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424/2020; cláusula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Correo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«Solicitar el arrepentimiento por correo».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abre el cliente de correo con destinatario y asunto completos. Se verificó en forma automática que el enlace lleva asunto; falta abrirlo en un cliente real.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Enlaces legales del pie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pie de las 3 páginas.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Política de privacidad, Términos y condiciones y «Defensa de las y los Consumidores. Para reclamos ingrese aquí».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274/2021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de arrepentimiento antes de pagar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checkout.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aviso de 10 días, con enlace a la cláusula 9, aparece antes del botón «Ir al pago».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24.240, art. 34; CCyC, art. 1111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3.6. Pruebas manuales previas al lanzamiento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Recorrido con teclado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usando sólo Tab, Enter y la barra espaciadora.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 es alcanzable, el foco siempre es visible y no hay trampas de foco.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2.1.1 y 2.4.7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Lector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Recorrer catálogo, carrito y checkout con NVDA.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anuncian los cambios del carrito, los errores y la confirmación.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4.1.3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Teléfono real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en el sitio publicado desde un teléfono (Samsung Galaxy A16, Chrome).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 que en las pruebas automáticas.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Otros navegadores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Repetir CP-01, CP-11 y CP-21 en Firefox y Safari.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Riesgos R7 y R15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</w:tbl>
    <w:p/>
    <w:p>
      <w:pPr>
        <w:pStyle w:val="Heading1"/>
      </w:pPr>
      <w:r>
        <w:t>4. Resumen de la ejecución al 22/10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Casos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Cumplen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Fallan</w:t>
            </w:r>
          </w:p>
        </w:tc>
        <w:tc>
          <w:tcPr>
            <w:tcW w:type="dxa" w:w="201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Pendientes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Automáticas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Manuales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</w:tbl>
    <w:p/>
    <w:p>
      <w:r>
        <w:t>Las pruebas automáticas se ejecutaron sobre las 33 combinaciones de página y ancho, y todas cumplen. Al diseñar el plan se encontraron y corrigieron los siguientes defectos:</w:t>
      </w:r>
    </w:p>
    <w:p>
      <w:pPr>
        <w:pStyle w:val="ListBullet"/>
        <w:spacing w:after="60"/>
      </w:pPr>
      <w:r>
        <w:rPr>
          <w:b/>
        </w:rPr>
        <w:t xml:space="preserve">Mensaje del código postal. </w:t>
      </w:r>
      <w:r>
        <w:t>El navegador mostraba un texto genérico («Utiliza un formato que coincida con el solicitado»). Se agregó una regla con mensaje propio. Corregido el 22/10.</w:t>
      </w:r>
    </w:p>
    <w:p>
      <w:pPr>
        <w:pStyle w:val="ListBullet"/>
        <w:spacing w:after="60"/>
      </w:pPr>
      <w:r>
        <w:rPr>
          <w:b/>
        </w:rPr>
        <w:t xml:space="preserve">Encabezado a 600 px. </w:t>
      </w:r>
      <w:r>
        <w:t>Al agregar el botón de arrepentimiento, el encabezado quedaba en tres filas desordenadas. Se reorganizó: marca y botón en la primera fila y buscador debajo; desde 960 px, una sola fila. Corregido el 22/10.</w:t>
      </w:r>
    </w:p>
    <w:p>
      <w:pPr>
        <w:pStyle w:val="ListBullet"/>
        <w:spacing w:after="60"/>
      </w:pPr>
      <w:r>
        <w:rPr>
          <w:b/>
        </w:rPr>
        <w:t xml:space="preserve">Defectos de la propia prueba. </w:t>
      </w:r>
      <w:r>
        <w:t>Dos verificaciones legales fallaban por errores del script (precedencia de operadores y un selector que tomaba el enlace equivocado), no del sitio. Se corrigieron y se volvió a ejecutar todo.</w:t>
      </w:r>
    </w:p>
    <w:p>
      <w:pPr>
        <w:pStyle w:val="Heading1"/>
      </w:pPr>
      <w:r>
        <w:t>5. Criterios de aceptación para el lanzamiento</w:t>
      </w:r>
    </w:p>
    <w:p>
      <w:pPr>
        <w:pStyle w:val="ListBullet"/>
        <w:spacing w:after="60"/>
      </w:pPr>
      <w:r>
        <w:t>El 100 % de los casos automáticos cumple en las 33 combinaciones.</w:t>
      </w:r>
    </w:p>
    <w:p>
      <w:pPr>
        <w:pStyle w:val="ListBullet"/>
        <w:spacing w:after="60"/>
      </w:pPr>
      <w:r>
        <w:t>Los casos manuales CP-32, CP-35, CP-36, CP-37 y CP-38 están ejecutados y documentados con capturas.</w:t>
      </w:r>
    </w:p>
    <w:p>
      <w:pPr>
        <w:pStyle w:val="ListBullet"/>
        <w:spacing w:after="60"/>
      </w:pPr>
      <w:r>
        <w:t>No hay defectos abiertos que impidan comprar ni que contradigan una cláusula de los Términos y Condiciones.</w:t>
      </w:r>
    </w:p>
    <w:p>
      <w:pPr>
        <w:pStyle w:val="ListBullet"/>
        <w:spacing w:after="60"/>
      </w:pPr>
      <w:r>
        <w:t>Cada cambio de alcance aprobado en el Sprint 4 suma sus casos de prueba a este plan.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