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F4B3C"/>
          <w:sz w:val="36"/>
        </w:rPr>
        <w:t>MATRIZ Y REGISTRO DE RIESGOS</w:t>
      </w:r>
    </w:p>
    <w:p>
      <w:pPr>
        <w:spacing w:after="240"/>
      </w:pPr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Materia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Dirección y Gestión de Proyectos Tecnológicos (DGP)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Actividad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t>Sprint 2 — Semana 5 — Matriz y Registro de Riesgos (cierre)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Startup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Woodbird — Aves decorativas de madera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Autor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Reiss Jorge Nicolás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Docente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</w:rPr>
              <w:t>Ibañez Erick</w:t>
            </w:r>
          </w:p>
        </w:tc>
      </w:tr>
      <w:tr>
        <w:tc>
          <w:tcPr>
            <w:tcW w:type="dxa" w:w="2304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</w:rPr>
              <w:t>Fecha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t>23 de septiembre de 2026</w:t>
            </w:r>
          </w:p>
        </w:tc>
      </w:tr>
    </w:tbl>
    <w:p/>
    <w:p>
      <w:pPr>
        <w:pStyle w:val="Heading1"/>
      </w:pPr>
      <w:r>
        <w:t>1. Objeto y metodología</w:t>
      </w:r>
    </w:p>
    <w:p>
      <w:pPr>
        <w:jc w:val="both"/>
      </w:pPr>
      <w:r>
        <w:t>Este documento identifica de forma proactiva los riesgos que pueden afectar el desarrollo de la plataforma Woodbird, los evalúa según su probabilidad de ocurrencia y su impacto, y define para cada uno un plan de acción preventivo y un plan de contingencia. Sigue el proceso de gestión de riesgos del PMI: identificar, analizar cualitativamente, planificar la respuesta y monitorear.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864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24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424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Muy baja: casi no hay antecedentes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Mínimo: no afecta ninguna entrega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Baja: podría ocurrir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Menor: retrabajo de menos de un día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Media: ocurre con cierta frecuencia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Moderado: atrasa un entregable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Alta: hay señales de que ocurrirá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Serio: compromete la nota de un sprint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Muy alta: ya está ocurriendo</w:t>
            </w:r>
          </w:p>
        </w:tc>
        <w:tc>
          <w:tcPr>
            <w:tcW w:type="dxa" w:w="42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Crítico: compromete la aprobación del proyecto</w:t>
            </w:r>
          </w:p>
        </w:tc>
      </w:tr>
    </w:tbl>
    <w:p>
      <w:pPr>
        <w:spacing w:after="40"/>
      </w:pPr>
    </w:p>
    <w:p>
      <w:pPr>
        <w:jc w:val="both"/>
      </w:pPr>
      <w:r>
        <w:t>El nivel de riesgo es el producto Probabilidad × Impacto. Se clasifica como Alto (15 a 25), que exige respuesta inmediata; Medio (8 a 12), que exige un plan de acción con fecha; y Bajo (1 a 6), que se monitorea. Las estrategias de respuesta son evitar, mitigar, transferir o aceptar.</w:t>
      </w:r>
    </w:p>
    <w:p>
      <w:pPr>
        <w:pStyle w:val="Heading1"/>
      </w:pPr>
      <w:r>
        <w:t>2. Registro de riesgos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</w:trPr>
        <w:tc>
          <w:tcPr>
            <w:tcW w:type="dxa" w:w="57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8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P</w:t>
            </w:r>
          </w:p>
        </w:tc>
        <w:tc>
          <w:tcPr>
            <w:tcW w:type="dxa" w:w="432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</w:t>
            </w:r>
          </w:p>
        </w:tc>
        <w:tc>
          <w:tcPr>
            <w:tcW w:type="dxa" w:w="1080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Nivel</w:t>
            </w:r>
          </w:p>
        </w:tc>
        <w:tc>
          <w:tcPr>
            <w:tcW w:type="dxa" w:w="2304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Disparador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R1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Sobrecarga del único integrante, que cubre los cuatro roles del proyecto, y consecuente incumplimiento de entregas.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080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20 Alto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Dos o más tareas vencidas en la misma semana.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Arrastre de los atrasos del Sprint 1 hacia el Sprint 2 (materializado parcialmente: +18 días en el repositorio).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Tiempos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16 Alto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Desvío acumulado mayor a 5 días en cualquier paquete del Sprint 2.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campaña de Instagram prevista en la EDT no existe, lo que bloquea la estrategia de canales y el embudo de conversión.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Llegar al 24/09 sin cuenta comercial creada.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R4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Inconsistencia de alcance: el Acta prevé backend, base de datos y pagos reales de productos físicos, mientras que la consigna pide un catálogo de productos ficticios generados con IA y una compra simulada.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Alcance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Observación del docente o requisito de un sprint que contradiga el Acta.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R5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 formulario de checkout recolecta datos personales sin consentimiento informado ni política publicada, en infracción de la Ley 25.326.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Legal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12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Formulario publicado sin enlace a la política de privacidad.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Las imágenes de producto no se generan a tiempo o la herramienta de IA elegida no permite el uso comercial.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 / Legal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9 Medio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Semana 5 sin imágenes en assets/img/.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R7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Fallas de visualización responsive en algún navegador o dispositivo (por ejemplo, soporte del selector :has()).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Una prueba de la semana 6 muestra contenido cortado o superpuesto.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R8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Desincronización o pérdida de documentos, porque existen copias fuera del repositorio.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Gestión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6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Diferencias entre la versión local y la del repositorio.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338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Caída o bloqueo de servicios externos (GitHub, Trello, Google Fonts) cerca de una entrega.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Técnico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32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08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2 Bajo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Servicio inaccesible el día de la entrega.</w:t>
            </w:r>
          </w:p>
        </w:tc>
      </w:tr>
    </w:tbl>
    <w:p>
      <w:pPr>
        <w:spacing w:after="40"/>
      </w:pPr>
    </w:p>
    <w:p>
      <w:pPr>
        <w:pStyle w:val="Heading1"/>
      </w:pPr>
      <w:r>
        <w:t>3. Matriz de probabilidad e impacto</w:t>
      </w:r>
    </w:p>
    <w:p>
      <w:pPr>
        <w:jc w:val="both"/>
      </w:pPr>
      <w:r>
        <w:t>Ubicación de cada riesgo según su evaluación. Las celdas se colorean por nivel.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 \ I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1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2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3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4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Impacto 5</w:t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5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4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R3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R2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R1</w:t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3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R8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R6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R4, R5</w:t>
            </w:r>
          </w:p>
        </w:tc>
        <w:tc>
          <w:tcPr>
            <w:tcW w:type="dxa" w:w="1512"/>
            <w:shd w:val="clear" w:color="auto" w:fill="EBC9B8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2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R7</w:t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F3E3C3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  <w:tr>
        <w:trPr>
          <w:trHeight w:val="480"/>
        </w:trPr>
        <w:tc>
          <w:tcPr>
            <w:tcW w:type="dxa" w:w="1800"/>
            <w:shd w:val="clear" w:color="auto" w:fill="E8EDE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Probabilidad 1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  <w:t>R9</w:t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  <w:tc>
          <w:tcPr>
            <w:tcW w:type="dxa" w:w="1512"/>
            <w:shd w:val="clear" w:color="auto" w:fill="E8EDE9"/>
          </w:tcPr>
          <w:p>
            <w:pPr>
              <w:spacing w:after="0"/>
              <w:jc w:val="center"/>
            </w:pPr>
            <w:r/>
            <w:r>
              <w:rPr>
                <w:b/>
                <w:sz w:val="20"/>
              </w:rPr>
            </w:r>
          </w:p>
        </w:tc>
      </w:tr>
    </w:tbl>
    <w:p/>
    <w:p>
      <w:pPr>
        <w:pStyle w:val="Heading1"/>
      </w:pPr>
      <w:r>
        <w:t>4. Plan de respuesta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576"/>
            <w:shd w:val="clear" w:color="auto" w:fill="2F4B3C"/>
          </w:tcPr>
          <w:p>
            <w:pPr>
              <w:spacing w:after="0"/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08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Estrategia</w:t>
            </w:r>
          </w:p>
        </w:tc>
        <w:tc>
          <w:tcPr>
            <w:tcW w:type="dxa" w:w="3168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 de acción (preventivo)</w:t>
            </w:r>
          </w:p>
        </w:tc>
        <w:tc>
          <w:tcPr>
            <w:tcW w:type="dxa" w:w="3096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Plan de contingencia</w:t>
            </w:r>
          </w:p>
        </w:tc>
        <w:tc>
          <w:tcPr>
            <w:tcW w:type="dxa" w:w="1440"/>
            <w:shd w:val="clear" w:color="auto" w:fill="2F4B3C"/>
          </w:tcPr>
          <w:p>
            <w:pPr>
              <w:spacing w:after="0"/>
            </w:pPr>
            <w:r/>
            <w:r>
              <w:rPr>
                <w:b/>
                <w:color w:val="FFFFFF"/>
                <w:sz w:val="18"/>
              </w:rPr>
              <w:t>Responsable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R1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Timeboxing diario con al menos un entregable cerrado por día. Límite de dos tareas simultáneas en la columna «En progreso» del Kanban. Priorizar siempre el camino crítico.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Aplicar la autoridad del PM definida en el Acta: solicitar al docente la reprogramación de un entregable no crítico y reducir el alcance al mínimo exigido por la consigna.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R2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 de recuperación con fechas nuevas (documento de Gantt, sección 7). Control del Gantt cada lunes contra la línea base de la EDT.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Adelantar tareas técnicas de la semana siguiente (fast tracking), como ya se hizo con el CSS y productos.json. Usar el colchón del 02/10.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R3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Crear la cuenta comercial y publicar tres piezas mínimas antes del 24/09, reutilizando la identidad visual de los wireframes.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Documentar el embudo con maquetas de las publicaciones y métricas proyectadas, indicando explícitamente que son simuladas.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Responsable de Negocio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R4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Registrar la diferencia como solicitud de cambio y actualizar el Acta y la EDT para alinearlas con la consigna.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Consultar al docente, que según el Acta tiene la autoridad final sobre el alcance, y dejar asentada su decisión.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R5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Minimizar los campos al mínimo necesario, agregar casilla de consentimiento y enlace a la política, y aclarar que la compra es una simulación.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Deshabilitar el envío del formulario hasta publicar la política y mostrar un aviso visible de simulación.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Compliance Officer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R6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Elegir una herramienta cuyos términos permitan uso comercial, generar las 12 imágenes en la semana 5 y registrar herramienta y prompt de cada una.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Mantener las láminas de color con el sello «Imagen con IA», que el diseño ya soporta como marcador de posición.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R7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Probar en Chrome, Edge, Firefox y un teléfono real durante la semana 6. Preferir propiedades con soporte amplio.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Aplicar un estilo alternativo de una sola columna para el componente afectado.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R8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Mitigar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Usar el repositorio de GitHub como fuente única y subir cada documento al terminarlo.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Recuperar la última versión desde el historial de commits.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 Manager</w:t>
            </w:r>
          </w:p>
        </w:tc>
      </w:tr>
      <w:tr>
        <w:trPr>
          <w:cantSplit w:val="true"/>
        </w:trPr>
        <w:tc>
          <w:tcPr>
            <w:tcW w:type="dxa" w:w="576"/>
          </w:tcPr>
          <w:p>
            <w:pPr>
              <w:spacing w:after="0"/>
              <w:jc w:val="center"/>
            </w:pPr>
            <w:r/>
            <w:r>
              <w:rPr>
                <w:b w:val="0"/>
                <w:sz w:val="18"/>
              </w:rPr>
              <w:t>R9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Aceptar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Las fuentes tienen tipografías de respaldo en el CSS. Mantener una copia local actualizada del repositorio.</w:t>
            </w:r>
          </w:p>
        </w:tc>
        <w:tc>
          <w:tcPr>
            <w:tcW w:type="dxa" w:w="309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Entregar el proyecto como archivo ZIP junto con capturas del tablero Kanban.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Desarrollador</w:t>
            </w:r>
          </w:p>
        </w:tc>
      </w:tr>
    </w:tbl>
    <w:p>
      <w:pPr>
        <w:spacing w:after="40"/>
      </w:pPr>
    </w:p>
    <w:p>
      <w:pPr>
        <w:pStyle w:val="Heading1"/>
      </w:pPr>
      <w:r>
        <w:t>5. Seguimiento</w:t>
      </w:r>
    </w:p>
    <w:p>
      <w:pPr>
        <w:jc w:val="both"/>
      </w:pPr>
      <w:r>
        <w:t>Los riesgos R1 y R2 son de nivel Alto y ya muestran síntomas: el Sprint 1 cerró con atrasos y el repositorio acumuló 18 días de desvío. Por eso sus planes de acción se aplican desde esta semana. R3 debe resolverse antes del 24/09 porque bloquea el embudo de conversión.</w:t>
      </w:r>
    </w:p>
    <w:p>
      <w:pPr>
        <w:pStyle w:val="ListBullet"/>
        <w:spacing w:after="60"/>
      </w:pPr>
      <w:r>
        <w:rPr>
          <w:b/>
        </w:rPr>
        <w:t xml:space="preserve">Frecuencia de revisión. </w:t>
      </w:r>
      <w:r>
        <w:t>Cada lunes, junto con el control del diagrama de Gantt.</w:t>
      </w:r>
    </w:p>
    <w:p>
      <w:pPr>
        <w:pStyle w:val="ListBullet"/>
        <w:spacing w:after="60"/>
      </w:pPr>
      <w:r>
        <w:rPr>
          <w:b/>
        </w:rPr>
        <w:t xml:space="preserve">Registro. </w:t>
      </w:r>
      <w:r>
        <w:t>Los riesgos activos se cargan como tarjetas en el tablero Kanban, con la etiqueta «Riesgo».</w:t>
      </w:r>
    </w:p>
    <w:p>
      <w:pPr>
        <w:pStyle w:val="ListBullet"/>
        <w:spacing w:after="60"/>
      </w:pPr>
      <w:r>
        <w:rPr>
          <w:b/>
        </w:rPr>
        <w:t xml:space="preserve">Cierre. </w:t>
      </w:r>
      <w:r>
        <w:t>En la semana 6 (hasta el 02/10) se revisa cada riesgo, se registra si se materializó y qué respuesta se aplicó, y se firma el cierre de los riesgos del Sprint 2.</w:t>
      </w:r>
    </w:p>
    <w:p>
      <w:pPr>
        <w:pStyle w:val="Heading1"/>
      </w:pPr>
      <w:r>
        <w:t>6. Cierre de riesgos del Sprint 2</w:t>
      </w:r>
    </w:p>
    <w:p>
      <w:r>
        <w:t>Revisión de cada riesgo al 23/09: si se materializó, qué respuesta se aplicó, con qué evidencia y en qué estado queda. Un riesgo se cierra cuando ya no puede afectar la entrega del 02/10 o cuando su respuesta está aplicada y verificada. Los que siguen abiertos tienen responsable y fecha.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567"/>
            <w:shd w:val="clear" w:color="auto" w:fill="2F4B3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54"/>
            <w:shd w:val="clear" w:color="auto" w:fill="2F4B3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¿Se materializó?</w:t>
            </w:r>
          </w:p>
        </w:tc>
        <w:tc>
          <w:tcPr>
            <w:tcW w:type="dxa" w:w="3855"/>
            <w:shd w:val="clear" w:color="auto" w:fill="2F4B3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Respuesta aplicada y evidencia</w:t>
            </w:r>
          </w:p>
        </w:tc>
        <w:tc>
          <w:tcPr>
            <w:tcW w:type="dxa" w:w="2494"/>
            <w:shd w:val="clear" w:color="auto" w:fill="2F4B3C"/>
          </w:tcPr>
          <w:p>
            <w:pPr>
              <w:keepNext/>
            </w:pPr>
            <w:r>
              <w:rPr>
                <w:b/>
                <w:color w:val="FFFFFF"/>
                <w:sz w:val="18"/>
              </w:rPr>
              <w:t>Estado al 23/09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R1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Sí, en el Sprint 1: atraso promedio de 9,2 días.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Mitigar. Timeboxing diario desde el 22/09: doce entregables cerrados en dos días, cada uno con su commit en GitHub. Desde entonces no hubo tareas vencidas.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Controlado. Se monitorea hasta el 02/10 (P2 × I5 = 10, Medio).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R2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Sí: +18 días en el repositorio y +11 en el HTML5.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Mitigar y contingencia. Fast tracking en dos olas (22 y 23/09): los paquetes del Sprint 2 cerraron en promedio 1,9 días antes de lo planificado.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R3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Sí: al 24/09 no existía la cuenta real.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Contingencia aplicada. La cuenta se definió y maquetó con métricas proyectadas, declaradas como supuestos (Estrategia de canales, 22/09).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R4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No hubo observación del docente, pero la inconsistencia sigue: el Acta prevé backend y pagos reales.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Pendiente. No se registró la solicitud de cambio del Acta ni la consulta al docente.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Abierto. Responsable: Project Manager. Registrar la solicitud de cambio antes del 02/10.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R5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No.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Evitar. Política de privacidad publicada, casilla de consentimiento y checkout que no envía datos (commit 3979d9a, 22/09).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R6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Sí: el disparador (semana 5 sin imágenes en assets/img/) está activo.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Pendiente. El sitio referencia imágenes que todavía no existen.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Abierto. Responsable: Desarrollador. Generar las imágenes antes del 29/09 o aplicar la contingencia de láminas de color.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R7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A verificar en las pruebas del 01/10.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Plan de pruebas definido: Chrome, Edge, Firefox y un teléfono real.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Abierto hasta el paquete 1.6.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keepNext/>
            </w:pPr>
            <w:r>
              <w:rPr>
                <w:b/>
                <w:sz w:val="18"/>
              </w:rPr>
              <w:t>R8</w:t>
            </w:r>
          </w:p>
        </w:tc>
        <w:tc>
          <w:tcPr>
            <w:tcW w:type="dxa" w:w="2154"/>
          </w:tcPr>
          <w:p>
            <w:pPr>
              <w:keepNext/>
            </w:pPr>
            <w:r>
              <w:rPr>
                <w:b w:val="0"/>
                <w:sz w:val="18"/>
              </w:rPr>
              <w:t>Parcialmente: los documentos existían en dos lugares.</w:t>
            </w:r>
          </w:p>
        </w:tc>
        <w:tc>
          <w:tcPr>
            <w:tcW w:type="dxa" w:w="3855"/>
          </w:tcPr>
          <w:p>
            <w:pPr>
              <w:keepNext/>
            </w:pPr>
            <w:r>
              <w:rPr>
                <w:b w:val="0"/>
                <w:sz w:val="18"/>
              </w:rPr>
              <w:t>Mitigar. El repositorio es la fuente única: todos los entregables de ambos sprints están versionados en GitHub.</w:t>
            </w:r>
          </w:p>
        </w:tc>
        <w:tc>
          <w:tcPr>
            <w:tcW w:type="dxa" w:w="2494"/>
          </w:tcPr>
          <w:p>
            <w:pPr>
              <w:keepNext/>
            </w:pPr>
            <w:r>
              <w:rPr>
                <w:b w:val="0"/>
                <w:sz w:val="18"/>
              </w:rPr>
              <w:t>Cerrado.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rPr>
                <w:b/>
                <w:sz w:val="18"/>
              </w:rPr>
              <w:t>R9</w:t>
            </w:r>
          </w:p>
        </w:tc>
        <w:tc>
          <w:tcPr>
            <w:tcW w:type="dxa" w:w="2154"/>
          </w:tcPr>
          <w:p>
            <w:r>
              <w:rPr>
                <w:b w:val="0"/>
                <w:sz w:val="18"/>
              </w:rPr>
              <w:t>Un caso menor: el 23/09 gnu.org no respondió al descargar la licencia GPL.</w:t>
            </w:r>
          </w:p>
        </w:tc>
        <w:tc>
          <w:tcPr>
            <w:tcW w:type="dxa" w:w="3855"/>
          </w:tcPr>
          <w:p>
            <w:r>
              <w:rPr>
                <w:b w:val="0"/>
                <w:sz w:val="18"/>
              </w:rPr>
              <w:t>Aceptar. Se usó una copia alternativa, verificada con el hash del texto oficial.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Aceptado. Se monitorea hasta el 02/10.</w:t>
            </w:r>
          </w:p>
        </w:tc>
      </w:tr>
    </w:tbl>
    <w:p/>
    <w:p>
      <w:r>
        <w:rPr>
          <w:b/>
        </w:rPr>
        <w:t xml:space="preserve">Balance. </w:t>
      </w:r>
      <w:r>
        <w:t>De los nueve riesgos, cinco se materializaron total o parcialmente (R1, R2, R3, R6 y R8). Todos tenían una respuesta planificada, y en cuatro de ellos esa respuesta alcanzó para cerrarlos o controlarlos. Quedan cinco sin cerrar: R4, R6 y R7 (abiertos) y R1 y R9 (en monitoreo hasta la entrega). R6 y R4 son los únicos que requieren una acción antes de la entrega.</w:t>
      </w:r>
    </w:p>
    <w:p>
      <w:pPr>
        <w:pStyle w:val="Heading1"/>
        <w:keepNext/>
      </w:pPr>
      <w:r>
        <w:t>7. Firma de cierre</w:t>
      </w:r>
    </w:p>
    <w:p>
      <w:pPr>
        <w:keepNext/>
      </w:pPr>
      <w:r>
        <w:t>Declaro revisados los riesgos del Sprint 2 en la fecha indicada. Los riesgos abiertos se cierran junto con el paquete 4.6, al completarse las pruebas responsive.</w:t>
      </w:r>
    </w:p>
    <w:p>
      <w:pPr>
        <w:keepNext/>
        <w:spacing w:before="200"/>
      </w:pPr>
      <w:r>
        <w:t>Project Manager: Reiss Jorge Nicolás</w:t>
      </w:r>
    </w:p>
    <w:p>
      <w:pPr>
        <w:keepNext/>
        <w:spacing w:before="200"/>
      </w:pPr>
      <w:r>
        <w:t>Firma: ______________________________</w:t>
      </w:r>
    </w:p>
    <w:p>
      <w:pPr>
        <w:keepNext w:val="0"/>
        <w:spacing w:before="200"/>
      </w:pPr>
      <w:r>
        <w:t>Fecha: ____ / ____ /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Calibri" w:hAnsi="Calibri"/>
      <w:b/>
      <w:bCs/>
      <w:color w:val="2F4B3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