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4B3C"/>
          <w:sz w:val="36"/>
        </w:rPr>
        <w:t>MATRIZ Y REGISTRO DE RIESGOS</w:t>
      </w:r>
    </w:p>
    <w:p>
      <w:r>
        <w:rPr>
          <w:color w:val="444444"/>
          <w:sz w:val="24"/>
        </w:rPr>
        <w:t>Woodbird — Aves decorativas de madera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E3EBE5"/>
          </w:tcPr>
          <w:p>
            <w:pPr>
              <w:spacing w:after="0"/>
            </w:pPr>
            <w:r>
              <w:rPr>
                <w:b/>
                <w:sz w:val="18"/>
              </w:rPr>
              <w:t>Materia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b w:val="0"/>
                <w:sz w:val="18"/>
              </w:rPr>
              <w:t>Dirección y Gestión de Proyectos Tecnológicos (DGP)</w:t>
            </w:r>
          </w:p>
        </w:tc>
      </w:tr>
      <w:tr>
        <w:tc>
          <w:tcPr>
            <w:tcW w:type="dxa" w:w="2016"/>
            <w:shd w:val="clear" w:color="auto" w:fill="E3EBE5"/>
          </w:tcPr>
          <w:p>
            <w:pPr>
              <w:spacing w:after="0"/>
            </w:pPr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b w:val="0"/>
                <w:sz w:val="18"/>
              </w:rPr>
              <w:t>Sprint 3 — Tarea 3.4: Reevaluación de la matriz de riesgos tras la integración de JavaScript (corte 22/10)</w:t>
            </w:r>
          </w:p>
        </w:tc>
      </w:tr>
      <w:tr>
        <w:tc>
          <w:tcPr>
            <w:tcW w:type="dxa" w:w="2016"/>
            <w:shd w:val="clear" w:color="auto" w:fill="E3EBE5"/>
          </w:tcPr>
          <w:p>
            <w:pPr>
              <w:spacing w:after="0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b w:val="0"/>
                <w:sz w:val="18"/>
              </w:rPr>
              <w:t>Project Manager</w:t>
            </w:r>
          </w:p>
        </w:tc>
      </w:tr>
      <w:tr>
        <w:tc>
          <w:tcPr>
            <w:tcW w:type="dxa" w:w="2016"/>
            <w:shd w:val="clear" w:color="auto" w:fill="E3EBE5"/>
          </w:tcPr>
          <w:p>
            <w:pPr>
              <w:spacing w:after="0"/>
            </w:pPr>
            <w:r>
              <w:rPr>
                <w:b/>
                <w:sz w:val="18"/>
              </w:rPr>
              <w:t>Startup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b w:val="0"/>
                <w:sz w:val="18"/>
              </w:rPr>
              <w:t>Woodbird — Aves decorativas de madera</w:t>
            </w:r>
          </w:p>
        </w:tc>
      </w:tr>
      <w:tr>
        <w:tc>
          <w:tcPr>
            <w:tcW w:type="dxa" w:w="2016"/>
            <w:shd w:val="clear" w:color="auto" w:fill="E3EBE5"/>
          </w:tcPr>
          <w:p>
            <w:pPr>
              <w:spacing w:after="0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b w:val="0"/>
                <w:sz w:val="18"/>
              </w:rPr>
              <w:t>Reiss Jorge Nicolás</w:t>
            </w:r>
          </w:p>
        </w:tc>
      </w:tr>
      <w:tr>
        <w:tc>
          <w:tcPr>
            <w:tcW w:type="dxa" w:w="2016"/>
            <w:shd w:val="clear" w:color="auto" w:fill="E3EBE5"/>
          </w:tcPr>
          <w:p>
            <w:pPr>
              <w:spacing w:after="0"/>
            </w:pPr>
            <w:r>
              <w:rPr>
                <w:b/>
                <w:sz w:val="18"/>
              </w:rPr>
              <w:t>Docente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b w:val="0"/>
                <w:sz w:val="18"/>
              </w:rPr>
              <w:t>Ibañez Erick</w:t>
            </w:r>
          </w:p>
        </w:tc>
      </w:tr>
      <w:tr>
        <w:tc>
          <w:tcPr>
            <w:tcW w:type="dxa" w:w="2016"/>
            <w:shd w:val="clear" w:color="auto" w:fill="E3EBE5"/>
          </w:tcPr>
          <w:p>
            <w:pPr>
              <w:spacing w:after="0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b w:val="0"/>
                <w:sz w:val="18"/>
              </w:rPr>
              <w:t>22 de octubre de 2026</w:t>
            </w:r>
          </w:p>
        </w:tc>
      </w:tr>
    </w:tbl>
    <w:p/>
    <w:p>
      <w:pPr>
        <w:pStyle w:val="Heading1"/>
      </w:pPr>
      <w:r>
        <w:t>1. Objeto y metodología</w:t>
      </w:r>
    </w:p>
    <w:p>
      <w:r>
        <w:t>Este documento reevalúa la matriz de riesgos del Sprint 2 a la luz de lo ocurrido en el Sprint 3, que incorporó la carga asincrónica del catálogo, el carrito de compras en JavaScript y los Términos y Condiciones. Se conservan los riesgos abiertos del Sprint 2 con su nueva evaluación y se agregan los riesgos propios de la integración de JavaScript (R10 a R15). La versión anterior está en docs/sprint-2/02_Matriz_de_Riesgos.docx.</w:t>
      </w:r>
    </w:p>
    <w:p>
      <w:r>
        <w:t>Se usa la misma escala: probabilidad e impacto de 1 a 5 y nivel = P × I, clasificado como Alto (15 a 25), Medio (8 a 12) o Bajo (1 a 6). La evaluación es la inherente, antes de aplicar la respuesta. El estado posterior figura en la sección 5. R5 (consentimiento, Ley 25.326) quedó cerrado en el Sprint 2 y no se vuelve a evaluar.</w:t>
      </w:r>
    </w:p>
    <w:p>
      <w:pPr>
        <w:pStyle w:val="Heading1"/>
      </w:pPr>
      <w:r>
        <w:t>2. Registro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576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152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432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432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type="dxa" w:w="864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448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Disparador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b/>
                <w:sz w:val="18"/>
              </w:rPr>
              <w:t>R1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8"/>
              </w:rPr>
              <w:t>Sobrecarga del único integrante, que cubre los cuatro roles del proyecto, y consecuente incumplimiento de entregas.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64"/>
            <w:shd w:val="clear" w:color="auto" w:fill="F4C7C3"/>
          </w:tcPr>
          <w:p>
            <w:pPr>
              <w:spacing w:after="0"/>
            </w:pPr>
            <w:r>
              <w:rPr>
                <w:b w:val="0"/>
                <w:sz w:val="18"/>
              </w:rPr>
              <w:t>25 Alto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 w:val="0"/>
                <w:sz w:val="18"/>
              </w:rPr>
              <w:t>Dos o más tareas vencidas en la misma semana.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b/>
                <w:sz w:val="18"/>
              </w:rPr>
              <w:t>R2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8"/>
              </w:rPr>
              <w:t>Atraso en el inicio del sprint: el trabajo empieza tarde y se comprime contra la fecha de entrega.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Tiempos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shd w:val="clear" w:color="auto" w:fill="F4C7C3"/>
          </w:tcPr>
          <w:p>
            <w:pPr>
              <w:spacing w:after="0"/>
            </w:pPr>
            <w:r>
              <w:rPr>
                <w:b w:val="0"/>
                <w:sz w:val="18"/>
              </w:rPr>
              <w:t>20 Alto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 w:val="0"/>
                <w:sz w:val="18"/>
              </w:rPr>
              <w:t>Fin de la semana 7 sin el hito «Fetch API conectada».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b/>
                <w:sz w:val="18"/>
              </w:rPr>
              <w:t>R3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8"/>
              </w:rPr>
              <w:t>La campaña de Instagram no llega a publicarse, aunque la Tarea 3.5 pide publicaciones reales con llamadas a la acción.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Alcance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12 Medio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 w:val="0"/>
                <w:sz w:val="18"/>
              </w:rPr>
              <w:t>Llegar a la semana 9 sin publicaciones.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b/>
                <w:sz w:val="18"/>
              </w:rPr>
              <w:t>R4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8"/>
              </w:rPr>
              <w:t>Inconsistencia de alcance entre el Acta (backend y pagos reales) y la consigna (compra simulada). La solicitud SC-01 no tiene respuesta.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Alcance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12 Medio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 w:val="0"/>
                <w:sz w:val="18"/>
              </w:rPr>
              <w:t>Observación del docente o requisito que contradiga el Acta.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b/>
                <w:sz w:val="18"/>
              </w:rPr>
              <w:t>R6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8"/>
              </w:rPr>
              <w:t>Las imágenes de producto con IA no se generan y el catálogo sigue con láminas de color.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Técnico / Legal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10 Medio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 w:val="0"/>
                <w:sz w:val="18"/>
              </w:rPr>
              <w:t>Semana 8 sin imágenes en assets/img/.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b/>
                <w:sz w:val="18"/>
              </w:rPr>
              <w:t>R7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8"/>
              </w:rPr>
              <w:t>Fallas de funcionamiento o de visualización en navegadores o dispositivos no probados. El JavaScript nuevo no se probó en un teléfono real ni en Firefox o Safari.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Técnico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6 Bajo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 w:val="0"/>
                <w:sz w:val="18"/>
              </w:rPr>
              <w:t>Un caso de prueba manual falla en un dispositivo real.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b/>
                <w:sz w:val="18"/>
              </w:rPr>
              <w:t>R8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8"/>
              </w:rPr>
              <w:t>Pérdida de fuentes del proyecto: los generadores de documentos y el script de Trello están fuera del repositorio.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Gestión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6 Bajo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 w:val="0"/>
                <w:sz w:val="18"/>
              </w:rPr>
              <w:t>Cambio de equipo o borrado de la carpeta de trabajo.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b/>
                <w:sz w:val="18"/>
              </w:rPr>
              <w:t>R9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8"/>
              </w:rPr>
              <w:t>Caída o bloqueo de servicios externos (GitHub, Trello, Google Fonts). El token de la API de Trello vence el 22/10.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Técnico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8 Medio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 w:val="0"/>
                <w:sz w:val="18"/>
              </w:rPr>
              <w:t>Servicio inaccesible o token vencido el día de la entrega.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b/>
                <w:sz w:val="18"/>
              </w:rPr>
              <w:t>R10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8"/>
              </w:rPr>
              <w:t>El catálogo no carga si el sitio se abre como archivo (file://), porque Fetch y los módulos ES requieren un servidor HTTP.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Técnico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shd w:val="clear" w:color="auto" w:fill="F4C7C3"/>
          </w:tcPr>
          <w:p>
            <w:pPr>
              <w:spacing w:after="0"/>
            </w:pPr>
            <w:r>
              <w:rPr>
                <w:b w:val="0"/>
                <w:sz w:val="18"/>
              </w:rPr>
              <w:t>15 Alto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 w:val="0"/>
                <w:sz w:val="18"/>
              </w:rPr>
              <w:t>Catálogo vacío al abrir index.html con doble clic.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b/>
                <w:sz w:val="18"/>
              </w:rPr>
              <w:t>R11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8"/>
              </w:rPr>
              <w:t>Falla de carga de productos.json en producción (red caída o JSON mal formado), que deja la tienda sin catálogo.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Técnico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8 Medio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 w:val="0"/>
                <w:sz w:val="18"/>
              </w:rPr>
              <w:t>Grilla vacía o error de JavaScript en la consola.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b/>
                <w:sz w:val="18"/>
              </w:rPr>
              <w:t>R12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8"/>
              </w:rPr>
              <w:t>Incoherencia entre las cláusulas legales y el comportamiento del software (envío, tope de unidades, stock, plazos).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Legal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12 Medio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 w:val="0"/>
                <w:sz w:val="18"/>
              </w:rPr>
              <w:t>Un cambio en el carrito o el checkout sin revisión de los Términos y Condiciones.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b/>
                <w:sz w:val="18"/>
              </w:rPr>
              <w:t>R13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8"/>
              </w:rPr>
              <w:t>Regresiones al reemplazar el HTML fijo por DOM generado con JavaScript: pruebas que dependen del contenido fijo y pérdida del foco del teclado al redibujar.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Técnico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9 Medio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 w:val="0"/>
                <w:sz w:val="18"/>
              </w:rPr>
              <w:t>Pruebas del Sprint 2 que fallan tras el cambio.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b/>
                <w:sz w:val="18"/>
              </w:rPr>
              <w:t>R14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8"/>
              </w:rPr>
              <w:t>Inyección de código (XSS) si los datos del JSON se insertan en la página como HTML.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8 Medio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 w:val="0"/>
                <w:sz w:val="18"/>
              </w:rPr>
              <w:t>Uso de innerHTML con datos externos.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b/>
                <w:sz w:val="18"/>
              </w:rPr>
              <w:t>R15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8"/>
              </w:rPr>
              <w:t>Incompatibilidad de navegadores antiguos con módulos ES, await de nivel superior y expresiones regulares Unicode.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Técnico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6 Bajo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 w:val="0"/>
                <w:sz w:val="18"/>
              </w:rPr>
              <w:t>Reporte de catálogo vacío en un navegador desactualizado.</w:t>
            </w:r>
          </w:p>
        </w:tc>
      </w:tr>
    </w:tbl>
    <w:p/>
    <w:p>
      <w:pPr>
        <w:pStyle w:val="Heading1"/>
      </w:pPr>
      <w:r>
        <w:t>3. Matriz de probabilidad e impacto</w:t>
      </w:r>
    </w:p>
    <w:p>
      <w:r>
        <w:t>Ubicación de cada riesgo según su evaluación. Las celdas se colorean por nivel.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 \ I</w:t>
            </w:r>
          </w:p>
        </w:tc>
        <w:tc>
          <w:tcPr>
            <w:tcW w:type="dxa" w:w="156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Impacto 1</w:t>
            </w:r>
          </w:p>
        </w:tc>
        <w:tc>
          <w:tcPr>
            <w:tcW w:type="dxa" w:w="156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Impacto 2</w:t>
            </w:r>
          </w:p>
        </w:tc>
        <w:tc>
          <w:tcPr>
            <w:tcW w:type="dxa" w:w="156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Impacto 3</w:t>
            </w:r>
          </w:p>
        </w:tc>
        <w:tc>
          <w:tcPr>
            <w:tcW w:type="dxa" w:w="156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Impacto 4</w:t>
            </w:r>
          </w:p>
        </w:tc>
        <w:tc>
          <w:tcPr>
            <w:tcW w:type="dxa" w:w="156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Impacto 5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/>
                <w:sz w:val="18"/>
              </w:rPr>
              <w:t>Probabilidad 5</w:t>
            </w:r>
          </w:p>
        </w:tc>
        <w:tc>
          <w:tcPr>
            <w:tcW w:type="dxa" w:w="1560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60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R6</w:t>
            </w:r>
          </w:p>
        </w:tc>
        <w:tc>
          <w:tcPr>
            <w:tcW w:type="dxa" w:w="1560"/>
            <w:shd w:val="clear" w:color="auto" w:fill="F4C7C3"/>
          </w:tcPr>
          <w:p>
            <w:pPr>
              <w:spacing w:after="0"/>
            </w:pPr>
            <w:r>
              <w:rPr>
                <w:b w:val="0"/>
                <w:sz w:val="18"/>
              </w:rPr>
              <w:t>R10</w:t>
            </w:r>
          </w:p>
        </w:tc>
        <w:tc>
          <w:tcPr>
            <w:tcW w:type="dxa" w:w="1560"/>
            <w:shd w:val="clear" w:color="auto" w:fill="F4C7C3"/>
          </w:tcPr>
          <w:p>
            <w:pPr>
              <w:spacing w:after="0"/>
            </w:pPr>
            <w:r>
              <w:rPr>
                <w:b w:val="0"/>
                <w:sz w:val="18"/>
              </w:rPr>
              <w:t>R2</w:t>
            </w:r>
          </w:p>
        </w:tc>
        <w:tc>
          <w:tcPr>
            <w:tcW w:type="dxa" w:w="1560"/>
            <w:shd w:val="clear" w:color="auto" w:fill="F4C7C3"/>
          </w:tcPr>
          <w:p>
            <w:pPr>
              <w:spacing w:after="0"/>
            </w:pPr>
            <w:r>
              <w:rPr>
                <w:b w:val="0"/>
                <w:sz w:val="18"/>
              </w:rPr>
              <w:t>R1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/>
                <w:sz w:val="18"/>
              </w:rPr>
              <w:t>Probabilidad 4</w:t>
            </w:r>
          </w:p>
        </w:tc>
        <w:tc>
          <w:tcPr>
            <w:tcW w:type="dxa" w:w="1560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60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R9</w:t>
            </w:r>
          </w:p>
        </w:tc>
        <w:tc>
          <w:tcPr>
            <w:tcW w:type="dxa" w:w="1560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R3</w:t>
            </w:r>
          </w:p>
        </w:tc>
        <w:tc>
          <w:tcPr>
            <w:tcW w:type="dxa" w:w="1560"/>
            <w:shd w:val="clear" w:color="auto" w:fill="F4C7C3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60"/>
            <w:shd w:val="clear" w:color="auto" w:fill="F4C7C3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/>
                <w:sz w:val="18"/>
              </w:rPr>
              <w:t>Probabilidad 3</w:t>
            </w:r>
          </w:p>
        </w:tc>
        <w:tc>
          <w:tcPr>
            <w:tcW w:type="dxa" w:w="1560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60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60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R13</w:t>
            </w:r>
          </w:p>
        </w:tc>
        <w:tc>
          <w:tcPr>
            <w:tcW w:type="dxa" w:w="1560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R4, R12</w:t>
            </w:r>
          </w:p>
        </w:tc>
        <w:tc>
          <w:tcPr>
            <w:tcW w:type="dxa" w:w="1560"/>
            <w:shd w:val="clear" w:color="auto" w:fill="F4C7C3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/>
                <w:sz w:val="18"/>
              </w:rPr>
              <w:t>Probabilidad 2</w:t>
            </w:r>
          </w:p>
        </w:tc>
        <w:tc>
          <w:tcPr>
            <w:tcW w:type="dxa" w:w="1560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60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60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R7, R8, R15</w:t>
            </w:r>
          </w:p>
        </w:tc>
        <w:tc>
          <w:tcPr>
            <w:tcW w:type="dxa" w:w="1560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R11, R14</w:t>
            </w:r>
          </w:p>
        </w:tc>
        <w:tc>
          <w:tcPr>
            <w:tcW w:type="dxa" w:w="1560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/>
                <w:sz w:val="18"/>
              </w:rPr>
              <w:t>Probabilidad 1</w:t>
            </w:r>
          </w:p>
        </w:tc>
        <w:tc>
          <w:tcPr>
            <w:tcW w:type="dxa" w:w="1560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60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60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60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60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4. Plan de respuesta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Estrategia</w:t>
            </w:r>
          </w:p>
        </w:tc>
        <w:tc>
          <w:tcPr>
            <w:tcW w:type="dxa" w:w="324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Plan de acción (preventivo)</w:t>
            </w:r>
          </w:p>
        </w:tc>
        <w:tc>
          <w:tcPr>
            <w:tcW w:type="dxa" w:w="3024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Plan de contingencia</w:t>
            </w:r>
          </w:p>
        </w:tc>
        <w:tc>
          <w:tcPr>
            <w:tcW w:type="dxa" w:w="144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R1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b w:val="0"/>
                <w:sz w:val="18"/>
              </w:rPr>
              <w:t>Mitigar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b w:val="0"/>
                <w:sz w:val="18"/>
              </w:rPr>
              <w:t>Hitos semanales verificables: al menos un commit o una tarjeta movida por semana. Límite de dos tareas en «En progreso».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8"/>
              </w:rPr>
              <w:t>Concentrar el esfuerzo en las tareas con más peso en la nota y postergar las no críticas mediante solicitudes de cambio (SC-05).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Project Manager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R2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b w:val="0"/>
                <w:sz w:val="18"/>
              </w:rPr>
              <w:t>Mitigar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b w:val="0"/>
                <w:sz w:val="18"/>
              </w:rPr>
              <w:t>Revisión del tablero cada lunes contra el cronograma de la consigna.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8"/>
              </w:rPr>
              <w:t>Fast tracking: resolver en paralelo las tareas técnicas y legales que se apoyan entre sí (carrito y Términos y Condiciones).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Project Manager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R3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b w:val="0"/>
                <w:sz w:val="18"/>
              </w:rPr>
              <w:t>Evitar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b w:val="0"/>
                <w:sz w:val="18"/>
              </w:rPr>
              <w:t>Preparar las piezas y los textos con CTA antes de la semana 9.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8"/>
              </w:rPr>
              <w:t>Documentar las piezas maquetadas con métricas proyectadas y declararlas como simuladas, como en el Sprint 2.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Responsable de Negocio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R4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b w:val="0"/>
                <w:sz w:val="18"/>
              </w:rPr>
              <w:t>Mitigar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b w:val="0"/>
                <w:sz w:val="18"/>
              </w:rPr>
              <w:t>Reiterar la solicitud SC-01 adjuntándola a la carpeta del Sprint 3.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8"/>
              </w:rPr>
              <w:t>Mantener el alcance simulado, que es el que piden las consignas, hasta que el docente decida.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Project Manager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R6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b w:val="0"/>
                <w:sz w:val="18"/>
              </w:rPr>
              <w:t>Aceptar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b w:val="0"/>
                <w:sz w:val="18"/>
              </w:rPr>
              <w:t>Postergar la generación al Sprint 4 (SC-05).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8"/>
              </w:rPr>
              <w:t>Mantener las láminas de color con el sello «Imagen con IA».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Desarrollador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R7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b w:val="0"/>
                <w:sz w:val="18"/>
              </w:rPr>
              <w:t>Mitigar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b w:val="0"/>
                <w:sz w:val="18"/>
              </w:rPr>
              <w:t>Casos de prueba manuales CP-37 (teléfono real) y CP-38 (Firefox) antes del lanzamiento.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8"/>
              </w:rPr>
              <w:t>Corregir y volver a ejecutar las pruebas automáticas en los 11 anchos.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Desarrollador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R8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b w:val="0"/>
                <w:sz w:val="18"/>
              </w:rPr>
              <w:t>Mitigar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b w:val="0"/>
                <w:sz w:val="18"/>
              </w:rPr>
              <w:t>Subir los generadores y el script de Trello al repositorio, sin las credenciales.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8"/>
              </w:rPr>
              <w:t>Regenerar los documentos desde las copias de la carpeta de trabajo.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Project Manager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R9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b w:val="0"/>
                <w:sz w:val="18"/>
              </w:rPr>
              <w:t>Aceptar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b w:val="0"/>
                <w:sz w:val="18"/>
              </w:rPr>
              <w:t>Actualizar el tablero antes del vencimiento y regenerar el token por 30 días.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8"/>
              </w:rPr>
              <w:t>Entregar capturas del tablero junto con la carpeta.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Project Manager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R10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b w:val="0"/>
                <w:sz w:val="18"/>
              </w:rPr>
              <w:t>Mitigar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b w:val="0"/>
                <w:sz w:val="18"/>
              </w:rPr>
              <w:t>Mensaje de error visible si el catálogo no carga e instrucciones de uso con «python -m http.server» en el README.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8"/>
              </w:rPr>
              <w:t>El sitio publicado en GitHub Pages se sirve por HTTPS y no está afectado.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Desarrollador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R11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b w:val="0"/>
                <w:sz w:val="18"/>
              </w:rPr>
              <w:t>Mitigar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b w:val="0"/>
                <w:sz w:val="18"/>
              </w:rPr>
              <w:t>Mensaje de error accesible cuando falla la carga (CP-10). Las pruebas cargan el JSON en cada ejecución.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8"/>
              </w:rPr>
              <w:t>Volver a la versión anterior de productos.json desde el historial de Git.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Desarrollador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R12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b w:val="0"/>
                <w:sz w:val="18"/>
              </w:rPr>
              <w:t>Evitar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b w:val="0"/>
                <w:sz w:val="18"/>
              </w:rPr>
              <w:t>Tabla de coherencia entre cláusulas y código (Términos y Condiciones, sección 5). Casos de prueba con referencia a la cláusula. Regla escrita en CLAUDE.md.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8"/>
              </w:rPr>
              <w:t>Corregir el código o publicar una nueva versión de los términos antes del lanzamiento.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Compliance Officer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R13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b w:val="0"/>
                <w:sz w:val="18"/>
              </w:rPr>
              <w:t>Mitigar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b w:val="0"/>
                <w:sz w:val="18"/>
              </w:rPr>
              <w:t>Adaptar las pruebas para que carguen el carrito antes de medir. Actualizar las filas del carrito en el lugar, sin reconstruir la tabla.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8"/>
              </w:rPr>
              <w:t>Volver a la versión estática desde el historial de Git.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Desarrollador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R14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b w:val="0"/>
                <w:sz w:val="18"/>
              </w:rPr>
              <w:t>Evitar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b w:val="0"/>
                <w:sz w:val="18"/>
              </w:rPr>
              <w:t>Crear todos los nodos con textContent mediante la función el(), sin innerHTML.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8"/>
              </w:rPr>
              <w:t>Revisar el código ante cualquier dato externo nuevo.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Desarrollador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R15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b w:val="0"/>
                <w:sz w:val="18"/>
              </w:rPr>
              <w:t>Aceptar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b w:val="0"/>
                <w:sz w:val="18"/>
              </w:rPr>
              <w:t>Usar sólo funciones con soporte en Chrome, Edge, Firefox y Safari desde 2021.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8"/>
              </w:rPr>
              <w:t>Mensaje de error y aviso &lt;noscript&gt; en el catálogo.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Desarrollador</w:t>
            </w:r>
          </w:p>
        </w:tc>
      </w:tr>
    </w:tbl>
    <w:p/>
    <w:p>
      <w:pPr>
        <w:pStyle w:val="Heading1"/>
      </w:pPr>
      <w:r>
        <w:t>5. Seguimiento al 22/10</w:t>
      </w:r>
    </w:p>
    <w:p>
      <w:r>
        <w:t>Para cada riesgo: si se materializó, qué respuesta se aplicó y en qué estado queda.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648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¿Se materializó?</w:t>
            </w:r>
          </w:p>
        </w:tc>
        <w:tc>
          <w:tcPr>
            <w:tcW w:type="dxa" w:w="3672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Respuesta aplicada y evidencia</w:t>
            </w:r>
          </w:p>
        </w:tc>
        <w:tc>
          <w:tcPr>
            <w:tcW w:type="dxa" w:w="216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Estado al 22/10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8"/>
              </w:rPr>
              <w:t>Sí. Entre el 05/10 y el 21/10 no hubo avances registrados: ningún commit ni movimiento en el tablero. Las tareas 3.1, 3.2, 3.7 y 3.8 se resolvieron el 22/10.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b w:val="0"/>
                <w:sz w:val="18"/>
              </w:rPr>
              <w:t>Contingencia aplicada el 22/10: se priorizaron las tareas técnicas y legales, que son las que más pesan en la evaluación, y se propuso postergar las imágenes (SC-05).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 w:val="0"/>
                <w:sz w:val="18"/>
              </w:rPr>
              <w:t>Activo. Alto. Se mantiene en el Sprint 4 con hitos semanales obligatorios.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8"/>
              </w:rPr>
              <w:t>Sí. El trabajo empezó 17 días después del inicio del sprint (05/10 → 22/10). Desvío: Fetch +13 días; Términos y Condiciones +6 días.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b w:val="0"/>
                <w:sz w:val="18"/>
              </w:rPr>
              <w:t>Fast tracking: carrito y Términos y Condiciones se resolvieron el mismo día, con la tabla de coherencia como vínculo entre ambos.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 w:val="0"/>
                <w:sz w:val="18"/>
              </w:rPr>
              <w:t>Activo hasta la entrega del 23/10.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8"/>
              </w:rPr>
              <w:t>En curso: al 22/10 no hay publicaciones.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b w:val="0"/>
                <w:sz w:val="18"/>
              </w:rPr>
              <w:t>Pendiente: la tarea 3.5 se trata el 23/10.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 w:val="0"/>
                <w:sz w:val="18"/>
              </w:rPr>
              <w:t>Abierto. Responsable de Negocio.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8"/>
              </w:rPr>
              <w:t>Sin cambios: el docente no respondió la SC-01.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b w:val="0"/>
                <w:sz w:val="18"/>
              </w:rPr>
              <w:t>Se reitera con la carpeta del Sprint 3 (Registro de solicitudes de cambio).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 w:val="0"/>
                <w:sz w:val="18"/>
              </w:rPr>
              <w:t>Abierto. Project Manager.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R6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8"/>
              </w:rPr>
              <w:t>Sí: no se generaron las imágenes.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b w:val="0"/>
                <w:sz w:val="18"/>
              </w:rPr>
              <w:t>Contingencia vigente: las láminas mantienen el sello «Imagen con IA». La SC-05, aprobada el 22/10, pasa la tarea al Sprint 4.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 w:val="0"/>
                <w:sz w:val="18"/>
              </w:rPr>
              <w:t>Aceptado para el Sprint 3.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R7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8"/>
              </w:rPr>
              <w:t>No. Las pruebas automáticas cumplen en 33 de 33 combinaciones.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b w:val="0"/>
                <w:sz w:val="18"/>
              </w:rPr>
              <w:t>Pendientes: CP-37 (teléfono real) y CP-38 (Firefox).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 w:val="0"/>
                <w:sz w:val="18"/>
              </w:rPr>
              <w:t>Monitoreo. Bajo.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R8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8"/>
              </w:rPr>
              <w:t>No. Detectado el 22/10.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b w:val="0"/>
                <w:sz w:val="18"/>
              </w:rPr>
              <w:t>Pendiente: versionar las herramientas en el Sprint 4.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 w:val="0"/>
                <w:sz w:val="18"/>
              </w:rPr>
              <w:t>Abierto. Bajo.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R9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8"/>
              </w:rPr>
              <w:t>Parcialmente: el token de Trello vence el 22/10.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b w:val="0"/>
                <w:sz w:val="18"/>
              </w:rPr>
              <w:t>El tablero se actualizó ese mismo día, antes del vencimiento. Queda regenerar el token.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 w:val="0"/>
                <w:sz w:val="18"/>
              </w:rPr>
              <w:t>Monitoreo.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R10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8"/>
              </w:rPr>
              <w:t>Sí, durante el diseño de la integración. No llegó a producción.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b w:val="0"/>
                <w:sz w:val="18"/>
              </w:rPr>
              <w:t>Mensaje de error, instrucciones en README y CLAUDE.md. El sitio publicado funciona.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 w:val="0"/>
                <w:sz w:val="18"/>
              </w:rPr>
              <w:t>Cerrado.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R11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8"/>
              </w:rPr>
              <w:t>No.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b w:val="0"/>
                <w:sz w:val="18"/>
              </w:rPr>
              <w:t>CP-10 verificado: sin productos.json, el sitio muestra «No pudimos cargar el catálogo…» y no queda en estado de carga.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 w:val="0"/>
                <w:sz w:val="18"/>
              </w:rPr>
              <w:t>Monitoreo.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R12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8"/>
              </w:rPr>
              <w:t>Sí. Al preparar la campaña de Instagram (22/10) se detectó que la portada, el catálogo y los Términos v1.0 presentaban las piezas como talladas y enviadas, en contradicción con la Declaración de triple impacto del Sprint 1.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b w:val="0"/>
                <w:sz w:val="18"/>
              </w:rPr>
              <w:t>Se corrigió con la SC-06: Términos v1.1 (cláusulas 2 y 4), portada y descripciones del catálogo. Tabla de coherencia publicada. Los casos de prueba CP-03, CP-14, CP-21, CP-23, CP-31 y CP-34 verifican las cláusulas.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 w:val="0"/>
                <w:sz w:val="18"/>
              </w:rPr>
              <w:t>Monitoreo. Compliance Officer.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R13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8"/>
              </w:rPr>
              <w:t>Sí: las pruebas del Sprint 2 suponían el carrito precargado en el HTML.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b w:val="0"/>
                <w:sz w:val="18"/>
              </w:rPr>
              <w:t>Las pruebas se adaptaron y se sumaron 3 pruebas funcionales. El carrito conserva el foco al cambiar cantidades.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 w:val="0"/>
                <w:sz w:val="18"/>
              </w:rPr>
              <w:t>Cerrado.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R14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8"/>
              </w:rPr>
              <w:t>No.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b w:val="0"/>
                <w:sz w:val="18"/>
              </w:rPr>
              <w:t>Evitado por diseño: el código no usa innerHTML.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 w:val="0"/>
                <w:sz w:val="18"/>
              </w:rPr>
              <w:t>Cerrado.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>
              <w:rPr>
                <w:b/>
                <w:sz w:val="18"/>
              </w:rPr>
              <w:t>R15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8"/>
              </w:rPr>
              <w:t>No.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b w:val="0"/>
                <w:sz w:val="18"/>
              </w:rPr>
              <w:t>Respuesta aplicada por diseño.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 w:val="0"/>
                <w:sz w:val="18"/>
              </w:rPr>
              <w:t>Monitoreo. Bajo.</w:t>
            </w:r>
          </w:p>
        </w:tc>
      </w:tr>
    </w:tbl>
    <w:p/>
    <w:p>
      <w:pPr>
        <w:pStyle w:val="Heading1"/>
      </w:pPr>
      <w:r>
        <w:t>6. Análisis de la integración de JavaScript</w:t>
      </w:r>
    </w:p>
    <w:p>
      <w:r>
        <w:t>La integración de JavaScript trajo seis riesgos nuevos. Tres de ellos (R10, R13 y R14) se trataron en el diseño, antes de que pudieran afectar al sitio publicado:</w:t>
      </w:r>
    </w:p>
    <w:p>
      <w:pPr>
        <w:pStyle w:val="ListBullet"/>
        <w:spacing w:after="60"/>
      </w:pPr>
      <w:r>
        <w:rPr>
          <w:b/>
        </w:rPr>
        <w:t xml:space="preserve">Ejecución local. </w:t>
      </w:r>
      <w:r>
        <w:t>Fetch y los módulos ES no funcionan al abrir index.html como archivo. En lugar de una grilla vacía, el sitio muestra un mensaje de error, y el README explica cómo servirlo por HTTP.</w:t>
      </w:r>
    </w:p>
    <w:p>
      <w:pPr>
        <w:pStyle w:val="ListBullet"/>
        <w:spacing w:after="60"/>
      </w:pPr>
      <w:r>
        <w:rPr>
          <w:b/>
        </w:rPr>
        <w:t xml:space="preserve">Pruebas acopladas al HTML. </w:t>
      </w:r>
      <w:r>
        <w:t>Las pruebas del Sprint 2 medían un carrito escrito a mano. Ahora cargan dos piezas antes de medir y suman pruebas funcionales del carrito, los filtros, el checkout, las reglas legales y la falla de carga del catálogo.</w:t>
      </w:r>
    </w:p>
    <w:p>
      <w:pPr>
        <w:pStyle w:val="ListBullet"/>
        <w:spacing w:after="60"/>
      </w:pPr>
      <w:r>
        <w:rPr>
          <w:b/>
        </w:rPr>
        <w:t xml:space="preserve">Seguridad del DOM. </w:t>
      </w:r>
      <w:r>
        <w:t>Las tarjetas se construyen nodo por nodo con textContent, por lo que un dato del JSON nunca se interpreta como HTML.</w:t>
      </w:r>
    </w:p>
    <w:p>
      <w:r>
        <w:t>La lección principal del sprint no es técnica, sino de gestión: R1 y R2 se volvieron a materializar con más fuerza que en el Sprint 2. La consecuencia para el Sprint 4, que es la última etapa, es planificar con hitos semanales verificables en el repositorio y en el tablero, en lugar de un único hito al cierre.</w:t>
      </w:r>
    </w:p>
    <w:p>
      <w:pPr>
        <w:pStyle w:val="Heading1"/>
      </w:pPr>
      <w:r>
        <w:t>Firma</w:t>
      </w:r>
    </w:p>
    <w:p>
      <w:r>
        <w:t>Declaro revisados los riesgos del Sprint 3 al 22/10. Quedan activos R1 y R2 (Alto) hasta la entrega del 23/10, y abiertos R3, R4 y R8, con responsable asignado.</w:t>
      </w:r>
    </w:p>
    <w:p>
      <w:r>
        <w:t>Project Manager: Reiss Jorge Nicolás</w:t>
      </w:r>
    </w:p>
    <w:p>
      <w:r>
        <w:t>Firma: ______________________________</w:t>
      </w:r>
    </w:p>
    <w:p>
      <w:r>
        <w:t>Fecha: ____ / ____ /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